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29" w:rsidRPr="002F66AC" w:rsidRDefault="00622081" w:rsidP="00644D41">
      <w:pPr>
        <w:pStyle w:val="rtejustify"/>
        <w:shd w:val="clear" w:color="auto" w:fill="FFFFFF"/>
        <w:spacing w:before="0" w:beforeAutospacing="0" w:after="150" w:afterAutospacing="0" w:line="360" w:lineRule="auto"/>
        <w:jc w:val="right"/>
        <w:rPr>
          <w:rFonts w:asciiTheme="majorHAnsi" w:hAnsiTheme="majorHAnsi" w:cs="Arial"/>
          <w:b/>
          <w:color w:val="0070C0"/>
          <w:sz w:val="18"/>
          <w:szCs w:val="18"/>
          <w:lang w:val="ro-RO"/>
        </w:rPr>
      </w:pPr>
      <w:r w:rsidRPr="002F66AC">
        <w:rPr>
          <w:rFonts w:asciiTheme="majorHAnsi" w:hAnsiTheme="majorHAnsi" w:cs="Arial"/>
          <w:b/>
          <w:color w:val="0070C0"/>
          <w:sz w:val="18"/>
          <w:szCs w:val="18"/>
          <w:lang w:val="ro-RO"/>
        </w:rPr>
        <w:t>2</w:t>
      </w:r>
      <w:r w:rsidR="003F2976">
        <w:rPr>
          <w:rFonts w:asciiTheme="majorHAnsi" w:hAnsiTheme="majorHAnsi" w:cs="Arial"/>
          <w:b/>
          <w:color w:val="0070C0"/>
          <w:sz w:val="18"/>
          <w:szCs w:val="18"/>
          <w:lang w:val="ro-RO"/>
        </w:rPr>
        <w:t>5 martie</w:t>
      </w:r>
      <w:r w:rsidR="00781729" w:rsidRPr="002F66AC">
        <w:rPr>
          <w:rFonts w:asciiTheme="majorHAnsi" w:hAnsiTheme="majorHAnsi" w:cs="Arial"/>
          <w:b/>
          <w:color w:val="0070C0"/>
          <w:sz w:val="18"/>
          <w:szCs w:val="18"/>
          <w:lang w:val="ro-RO"/>
        </w:rPr>
        <w:t xml:space="preserve"> 2021</w:t>
      </w:r>
    </w:p>
    <w:p w:rsidR="00781729" w:rsidRPr="002F66AC" w:rsidRDefault="00781729" w:rsidP="008A2138">
      <w:pPr>
        <w:pStyle w:val="Heading1"/>
        <w:pBdr>
          <w:bottom w:val="single" w:sz="6" w:space="0" w:color="B9D2E3"/>
        </w:pBdr>
        <w:shd w:val="clear" w:color="auto" w:fill="FFFFFF"/>
        <w:spacing w:before="0" w:beforeAutospacing="0" w:after="0" w:afterAutospacing="0" w:line="360" w:lineRule="auto"/>
        <w:ind w:left="75" w:right="75"/>
        <w:jc w:val="center"/>
        <w:rPr>
          <w:rFonts w:asciiTheme="majorHAnsi" w:hAnsiTheme="majorHAnsi" w:cs="Tahoma"/>
          <w:color w:val="0070C0"/>
          <w:sz w:val="18"/>
          <w:szCs w:val="18"/>
          <w:lang w:val="ro-RO"/>
        </w:rPr>
      </w:pPr>
      <w:r w:rsidRPr="002F66AC">
        <w:rPr>
          <w:rFonts w:asciiTheme="majorHAnsi" w:hAnsiTheme="majorHAnsi" w:cs="Tahoma"/>
          <w:color w:val="0070C0"/>
          <w:sz w:val="18"/>
          <w:szCs w:val="18"/>
          <w:lang w:val="ro-RO"/>
        </w:rPr>
        <w:t>Comunicat de presă</w:t>
      </w:r>
    </w:p>
    <w:p w:rsidR="00715DCE" w:rsidRDefault="00715DCE" w:rsidP="00BE1650">
      <w:pPr>
        <w:spacing w:after="0" w:line="360" w:lineRule="auto"/>
        <w:rPr>
          <w:rFonts w:asciiTheme="majorHAnsi" w:hAnsiTheme="majorHAnsi" w:cs="Times New Roman"/>
          <w:sz w:val="18"/>
          <w:szCs w:val="18"/>
        </w:rPr>
      </w:pPr>
    </w:p>
    <w:p w:rsidR="002B5297" w:rsidRDefault="009301B6" w:rsidP="009301B6">
      <w:pPr>
        <w:jc w:val="center"/>
        <w:rPr>
          <w:b/>
          <w:sz w:val="24"/>
          <w:szCs w:val="24"/>
        </w:rPr>
      </w:pPr>
      <w:r>
        <w:rPr>
          <w:b/>
          <w:sz w:val="24"/>
          <w:szCs w:val="24"/>
        </w:rPr>
        <w:t>Adaptarea structurii anului școlar la situația epidemiologică actuală</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Astăzi, 25 martie 2021, la sediul Ministerului Educației, a avut loc ședința Comisiei de Dialog Social. Au participat, alături de reprezentanții Ministerului Educației, reprezentanții federațiilor sindicale reprezentative din învățământ și ai asociațiilor patronale, iar în calitate de invitați, reprezentanți ai elevilor, studenților și părinților.</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Consultările cu partenerii de dialog social au vizat calendarul și modul de organizare a examenelor naționale, precum și propunerile de modificare/adaptare a structurii anului școlar 2020-2021 la realitățile impuse de situația epidemiologică.</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În urma consultărilor deschise și constructive, luând în considerare toate propunerile formulate în contextul creșterii ratei de infectare cu virusul Sars-CoV-2, prin implicarea tuturor factorilor care pot să contribuie la implementarea măsurilor necesare pentru bunul mers al procesului de învățământ și asigurarea dreptului la educație, au rezultat următoarele concluzii:</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1. Examenele naționale se vor desfășura la datele stabilite, conform calendarelor deja aprobate și cunoscute: 22 - 25 iunie (Evaluarea Națională a elevilor de clasa a VIII-a) și 28 iunie - 1 iulie (probele scrise ale examenului de bacalaureat. Probele de competențe din cadrul examenului de bacalaureat vor fi echivalate conform unei proceduri elaborate de către Ministerul Educației.</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2. Cu excepția claselor terminale, pentru care structura anului școlar nu va suferi niciun fel de modificare, vacanța de primăvară va începe în data de 2 aprilie și se va încheia în data de 4 mai.</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3. Pentru clasele terminale structura anului școlar NU va suferi niciun fel de modificare, vacanța/vacanțele de primăvară rămânând la datele planificate și cunoscute (2 aprilie - 11 mai pentru Sărbătorile Pascale Catolice și 30 aprilie - 9 mai pentru Sărbătorile Pascale Ortodoxe). Î</w:t>
      </w:r>
      <w:r w:rsidR="0056446A">
        <w:rPr>
          <w:rFonts w:asciiTheme="majorHAnsi" w:hAnsiTheme="majorHAnsi"/>
          <w:sz w:val="20"/>
          <w:szCs w:val="20"/>
        </w:rPr>
        <w:t>n intervalul 12 aprilie – 29 aprilie</w:t>
      </w:r>
      <w:r w:rsidRPr="00986CA0">
        <w:rPr>
          <w:rFonts w:asciiTheme="majorHAnsi" w:hAnsiTheme="majorHAnsi"/>
          <w:sz w:val="20"/>
          <w:szCs w:val="20"/>
        </w:rPr>
        <w:t>, clasele terminale vor participa online la toate activitățile didactice.</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4. Semestrul al II-lea va fi redus</w:t>
      </w:r>
      <w:bookmarkStart w:id="0" w:name="_GoBack"/>
      <w:bookmarkEnd w:id="0"/>
      <w:r w:rsidRPr="00986CA0">
        <w:rPr>
          <w:rFonts w:asciiTheme="majorHAnsi" w:hAnsiTheme="majorHAnsi"/>
          <w:sz w:val="20"/>
          <w:szCs w:val="20"/>
        </w:rPr>
        <w:t xml:space="preserve"> cu o săptămână pentru toate clasele, cu excepția claselor terminale (</w:t>
      </w:r>
      <w:r w:rsidR="007F14FE">
        <w:rPr>
          <w:rFonts w:asciiTheme="majorHAnsi" w:hAnsiTheme="majorHAnsi"/>
          <w:sz w:val="20"/>
          <w:szCs w:val="20"/>
        </w:rPr>
        <w:t>grupele din învățământul preș</w:t>
      </w:r>
      <w:r w:rsidR="007F14FE" w:rsidRPr="007F14FE">
        <w:rPr>
          <w:rFonts w:asciiTheme="majorHAnsi" w:hAnsiTheme="majorHAnsi"/>
          <w:sz w:val="20"/>
          <w:szCs w:val="20"/>
        </w:rPr>
        <w:t>colar</w:t>
      </w:r>
      <w:r w:rsidR="007F14FE">
        <w:rPr>
          <w:rFonts w:asciiTheme="majorHAnsi" w:hAnsiTheme="majorHAnsi"/>
          <w:sz w:val="20"/>
          <w:szCs w:val="20"/>
        </w:rPr>
        <w:t xml:space="preserve">, </w:t>
      </w:r>
      <w:r w:rsidRPr="00986CA0">
        <w:rPr>
          <w:rFonts w:asciiTheme="majorHAnsi" w:hAnsiTheme="majorHAnsi"/>
          <w:sz w:val="20"/>
          <w:szCs w:val="20"/>
        </w:rPr>
        <w:t xml:space="preserve">clasa pregătitoare, clasele I - a VII-a și clasele a IX-a, a X-a și a XI-a), acestea urmând a finaliza semestrul în data de 25 iunie, în loc de 18 iunie! </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 xml:space="preserve">5. Având în vedere reducerea semestrului al II-lea cu o săptămână, prin sprijinul cadrelor didactice, într-un an școlar total atipic, în care tezele semestriale nu se vor mai susține și în care numărul notelor necesare încheierii situației școlare a fost redus, Ministerul Educației apreciază efortul acestora de a comprima perioada de final de semestru necesară încheierii situațiilor școlare. </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6. Pentru filiera tehnologică și învățământul profesional și tehnic, finalul semestrului al II-lea va rămâne la datele stabilite și cunoscute.</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7. Calendarul activităților aferente definitivării și titularizării rămân neschimbate.</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8. Evaluările pentru clasele a II-a, a IV-a și a VI-a, precum și pretestările PISA rămân programate, în continuare, cu prezență fizică în toate școlile care funcționează în localități necarantinate. Evaluarea națională a elevilor din clasa a II-a se reprogramează din perioada 20 - 23 aprilie în intervalul 25 - 28 mai.</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lastRenderedPageBreak/>
        <w:t>9. Pentru a reduce inechitatea determinată de condițiile speciale, în</w:t>
      </w:r>
      <w:r w:rsidR="007F14FE">
        <w:rPr>
          <w:rFonts w:asciiTheme="majorHAnsi" w:hAnsiTheme="majorHAnsi"/>
          <w:sz w:val="20"/>
          <w:szCs w:val="20"/>
        </w:rPr>
        <w:t xml:space="preserve"> școlile aflate în localități </w:t>
      </w:r>
      <w:r w:rsidRPr="00986CA0">
        <w:rPr>
          <w:rFonts w:asciiTheme="majorHAnsi" w:hAnsiTheme="majorHAnsi"/>
          <w:sz w:val="20"/>
          <w:szCs w:val="20"/>
        </w:rPr>
        <w:t>carantinate, simulările pentru clasele terminale și evaluările pentru clasele a II-a, a IV-a și a VI-a vor putea fi organizate după ieșirea din carantină.</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10. Programul național de acțiuni remediale se va derula pe întreaga durată de organizare a  acțiunilor didactice, în toate școlile aflate în localități în care rata de infectare este mai mică de 6/1000 locuitori.</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 xml:space="preserve">Subliniez importanța consultărilor cu partenerii de dialog social în contextul epidemiologic actual și apreciez implicarea responsabilă în fundamentarea deciziilor luate de autorități în interesul primordial al elevilor.  </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Îndemn, în permanență, la prudență și la respectarea tuturor regulilor, mai ales acum, având în vedere agravarea situației epidemiologice!</w:t>
      </w:r>
    </w:p>
    <w:p w:rsidR="002B5297" w:rsidRPr="00986CA0" w:rsidRDefault="002B5297" w:rsidP="002B5297">
      <w:pPr>
        <w:rPr>
          <w:rFonts w:asciiTheme="majorHAnsi" w:hAnsiTheme="majorHAnsi"/>
          <w:sz w:val="20"/>
          <w:szCs w:val="20"/>
        </w:rPr>
      </w:pPr>
    </w:p>
    <w:p w:rsidR="002B5297" w:rsidRPr="00986CA0" w:rsidRDefault="002B5297" w:rsidP="00BE1650">
      <w:pPr>
        <w:spacing w:after="0" w:line="360" w:lineRule="auto"/>
        <w:rPr>
          <w:rFonts w:asciiTheme="majorHAnsi" w:hAnsiTheme="majorHAnsi" w:cs="Times New Roman"/>
          <w:sz w:val="20"/>
          <w:szCs w:val="20"/>
        </w:rPr>
      </w:pPr>
    </w:p>
    <w:p w:rsidR="003E139C" w:rsidRPr="003E139C" w:rsidRDefault="003E139C" w:rsidP="00BE1650">
      <w:pPr>
        <w:spacing w:after="0" w:line="360" w:lineRule="auto"/>
        <w:rPr>
          <w:rFonts w:asciiTheme="majorHAnsi" w:hAnsiTheme="majorHAnsi" w:cs="Times New Roman"/>
          <w:b/>
          <w:sz w:val="20"/>
          <w:szCs w:val="20"/>
        </w:rPr>
      </w:pPr>
      <w:r w:rsidRPr="003E139C">
        <w:rPr>
          <w:rFonts w:asciiTheme="majorHAnsi" w:hAnsiTheme="majorHAnsi" w:cs="Times New Roman"/>
          <w:b/>
          <w:sz w:val="20"/>
          <w:szCs w:val="20"/>
        </w:rPr>
        <w:t>Sorin Mihai Cîmpeanu,</w:t>
      </w:r>
    </w:p>
    <w:p w:rsidR="00506A21" w:rsidRPr="003E139C" w:rsidRDefault="003E139C" w:rsidP="00BE1650">
      <w:pPr>
        <w:spacing w:after="0" w:line="360" w:lineRule="auto"/>
        <w:rPr>
          <w:rFonts w:asciiTheme="majorHAnsi" w:hAnsiTheme="majorHAnsi" w:cs="Times New Roman"/>
          <w:b/>
          <w:sz w:val="20"/>
          <w:szCs w:val="20"/>
        </w:rPr>
      </w:pPr>
      <w:r w:rsidRPr="003E139C">
        <w:rPr>
          <w:rFonts w:asciiTheme="majorHAnsi" w:hAnsiTheme="majorHAnsi" w:cs="Times New Roman"/>
          <w:b/>
          <w:sz w:val="20"/>
          <w:szCs w:val="20"/>
        </w:rPr>
        <w:t>Minist</w:t>
      </w:r>
      <w:r w:rsidR="00506A21" w:rsidRPr="003E139C">
        <w:rPr>
          <w:rFonts w:asciiTheme="majorHAnsi" w:hAnsiTheme="majorHAnsi" w:cs="Times New Roman"/>
          <w:b/>
          <w:sz w:val="20"/>
          <w:szCs w:val="20"/>
        </w:rPr>
        <w:t>rul Educației</w:t>
      </w:r>
    </w:p>
    <w:sectPr w:rsidR="00506A21" w:rsidRPr="003E139C" w:rsidSect="00BE1650">
      <w:headerReference w:type="default" r:id="rId8"/>
      <w:footerReference w:type="default" r:id="rId9"/>
      <w:pgSz w:w="11906" w:h="16838" w:code="9"/>
      <w:pgMar w:top="2022" w:right="849" w:bottom="426" w:left="1276" w:header="0" w:footer="47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A9" w:rsidRDefault="005E14A9" w:rsidP="009772BD">
      <w:r>
        <w:separator/>
      </w:r>
    </w:p>
  </w:endnote>
  <w:endnote w:type="continuationSeparator" w:id="0">
    <w:p w:rsidR="005E14A9" w:rsidRDefault="005E14A9"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venir Next">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DD" w:rsidRPr="00F62861" w:rsidRDefault="00F62861" w:rsidP="00F62861">
    <w:pPr>
      <w:pStyle w:val="Footer1"/>
      <w:jc w:val="left"/>
      <w:rPr>
        <w:lang w:val="en-GB"/>
      </w:rPr>
    </w:pPr>
    <w:r>
      <w:t xml:space="preserve">Str. Gen. Berthelot 28-30, </w:t>
    </w:r>
    <w:r w:rsidR="007B301F" w:rsidRPr="007B301F">
      <w:t xml:space="preserve"> Sec</w:t>
    </w:r>
    <w:r>
      <w:t xml:space="preserve">tor 1,  010168, </w:t>
    </w:r>
    <w:r w:rsidR="007B301F" w:rsidRPr="007B301F">
      <w:t xml:space="preserve"> Bucureşti </w:t>
    </w:r>
    <w:r>
      <w:br/>
      <w:t>T</w:t>
    </w:r>
    <w:r w:rsidR="002328DD" w:rsidRPr="009772BD">
      <w:t>: +</w:t>
    </w:r>
    <w:r w:rsidRPr="00F62861">
      <w:t xml:space="preserve"> 021/405.62.00</w:t>
    </w:r>
    <w:r>
      <w:t xml:space="preserve"> E</w:t>
    </w:r>
    <w:r>
      <w:rPr>
        <w:lang w:val="en-GB"/>
      </w:rPr>
      <w:t xml:space="preserve">: </w:t>
    </w:r>
    <w:hyperlink r:id="rId1" w:history="1">
      <w:r w:rsidRPr="00971118">
        <w:rPr>
          <w:rStyle w:val="Hyperlink"/>
          <w:lang w:val="en-GB"/>
        </w:rPr>
        <w:t>cabinet@edu.gov.ro</w:t>
      </w:r>
    </w:hyperlink>
    <w:r>
      <w:rPr>
        <w:lang w:val="en-GB"/>
      </w:rPr>
      <w:t xml:space="preserve"> </w:t>
    </w:r>
  </w:p>
  <w:p w:rsidR="002328DD" w:rsidRPr="009772BD" w:rsidRDefault="002328DD" w:rsidP="00F62861">
    <w:pPr>
      <w:pStyle w:val="Footer1"/>
      <w:jc w:val="left"/>
    </w:pPr>
    <w:r w:rsidRPr="009772BD">
      <w:t>www.</w:t>
    </w:r>
    <w:r w:rsidR="00F62861">
      <w:t>edu</w:t>
    </w:r>
    <w:r w:rsidRPr="009772BD">
      <w:t>.ro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A9" w:rsidRDefault="005E14A9" w:rsidP="009772BD">
      <w:r>
        <w:separator/>
      </w:r>
    </w:p>
  </w:footnote>
  <w:footnote w:type="continuationSeparator" w:id="0">
    <w:p w:rsidR="005E14A9" w:rsidRDefault="005E14A9" w:rsidP="00977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9A" w:rsidRDefault="002F6514" w:rsidP="0013559A">
    <w:pPr>
      <w:pStyle w:val="Header"/>
      <w:tabs>
        <w:tab w:val="left" w:pos="142"/>
      </w:tabs>
      <w:ind w:left="3075" w:firstLine="3405"/>
      <w:jc w:val="left"/>
      <w:rPr>
        <w:color w:val="808080" w:themeColor="background1" w:themeShade="80"/>
        <w:sz w:val="28"/>
        <w:szCs w:val="28"/>
      </w:rPr>
    </w:pPr>
    <w:r>
      <w:rPr>
        <w:noProof/>
        <w:lang w:eastAsia="ro-RO"/>
      </w:rPr>
      <w:drawing>
        <wp:anchor distT="0" distB="0" distL="114300" distR="114300" simplePos="0" relativeHeight="251658240" behindDoc="1" locked="0" layoutInCell="1" allowOverlap="1">
          <wp:simplePos x="0" y="0"/>
          <wp:positionH relativeFrom="column">
            <wp:posOffset>-226695</wp:posOffset>
          </wp:positionH>
          <wp:positionV relativeFrom="paragraph">
            <wp:posOffset>259080</wp:posOffset>
          </wp:positionV>
          <wp:extent cx="4152900" cy="914400"/>
          <wp:effectExtent l="0" t="0" r="0" b="0"/>
          <wp:wrapNone/>
          <wp:docPr id="10" name="Picture 10"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TATE.GOV.RO\Logo Ministere-20191111\Logo Ministere\13.MEC\logo MEC-albastr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2900" cy="914400"/>
                  </a:xfrm>
                  <a:prstGeom prst="rect">
                    <a:avLst/>
                  </a:prstGeom>
                  <a:noFill/>
                  <a:ln>
                    <a:noFill/>
                  </a:ln>
                </pic:spPr>
              </pic:pic>
            </a:graphicData>
          </a:graphic>
        </wp:anchor>
      </w:drawing>
    </w:r>
  </w:p>
  <w:p w:rsidR="003273BB" w:rsidRPr="00793A10" w:rsidRDefault="002F6514" w:rsidP="00793A10">
    <w:pPr>
      <w:pStyle w:val="Header"/>
      <w:tabs>
        <w:tab w:val="left" w:pos="142"/>
      </w:tabs>
      <w:ind w:left="7200"/>
      <w:jc w:val="center"/>
      <w:rPr>
        <w:rFonts w:ascii="Trajan Pro" w:hAnsi="Trajan Pro"/>
        <w:color w:val="6C8682"/>
        <w:sz w:val="24"/>
        <w:szCs w:val="24"/>
        <w:u w:val="single"/>
      </w:rPr>
    </w:pPr>
    <w:r>
      <w:rPr>
        <w:color w:val="808080" w:themeColor="background1" w:themeShade="80"/>
        <w:sz w:val="28"/>
        <w:szCs w:val="28"/>
      </w:rPr>
      <w:br/>
    </w:r>
    <w:r w:rsidR="00793A10">
      <w:rPr>
        <w:rFonts w:ascii="Trajan Pro" w:hAnsi="Trajan Pro"/>
        <w:color w:val="6C8682"/>
        <w:sz w:val="24"/>
        <w:szCs w:val="24"/>
        <w:u w:val="single"/>
      </w:rPr>
      <w:t>CABINET MINISTRU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1E4"/>
    <w:multiLevelType w:val="hybridMultilevel"/>
    <w:tmpl w:val="CE6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E678F"/>
    <w:multiLevelType w:val="hybridMultilevel"/>
    <w:tmpl w:val="1092E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D50DC"/>
    <w:multiLevelType w:val="hybridMultilevel"/>
    <w:tmpl w:val="7CAA1D5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D3D65"/>
    <w:multiLevelType w:val="hybridMultilevel"/>
    <w:tmpl w:val="7CAA1D5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B5A7E"/>
    <w:multiLevelType w:val="hybridMultilevel"/>
    <w:tmpl w:val="32EC01B4"/>
    <w:lvl w:ilvl="0" w:tplc="45A4F12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D2FDA"/>
    <w:multiLevelType w:val="hybridMultilevel"/>
    <w:tmpl w:val="F970F69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8108AA"/>
    <w:multiLevelType w:val="hybridMultilevel"/>
    <w:tmpl w:val="1092E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FA7118"/>
    <w:multiLevelType w:val="hybridMultilevel"/>
    <w:tmpl w:val="199CDB5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23EE2"/>
    <w:multiLevelType w:val="hybridMultilevel"/>
    <w:tmpl w:val="7CB2199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2"/>
  </w:num>
  <w:num w:numId="5">
    <w:abstractNumId w:val="1"/>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11145"/>
    <w:rsid w:val="00024790"/>
    <w:rsid w:val="000333BD"/>
    <w:rsid w:val="00052B5E"/>
    <w:rsid w:val="000534FE"/>
    <w:rsid w:val="000642C3"/>
    <w:rsid w:val="000663ED"/>
    <w:rsid w:val="000745D4"/>
    <w:rsid w:val="00086831"/>
    <w:rsid w:val="0008744E"/>
    <w:rsid w:val="000932B8"/>
    <w:rsid w:val="000A63E2"/>
    <w:rsid w:val="000B1684"/>
    <w:rsid w:val="000C53F6"/>
    <w:rsid w:val="000C5597"/>
    <w:rsid w:val="000D0F24"/>
    <w:rsid w:val="000E149B"/>
    <w:rsid w:val="00121566"/>
    <w:rsid w:val="0012231B"/>
    <w:rsid w:val="0012614F"/>
    <w:rsid w:val="0013559A"/>
    <w:rsid w:val="00140394"/>
    <w:rsid w:val="0014554E"/>
    <w:rsid w:val="00146289"/>
    <w:rsid w:val="001466DC"/>
    <w:rsid w:val="0015218D"/>
    <w:rsid w:val="00157E65"/>
    <w:rsid w:val="00191708"/>
    <w:rsid w:val="001F3D9B"/>
    <w:rsid w:val="001F4DFA"/>
    <w:rsid w:val="00201BAD"/>
    <w:rsid w:val="0020331B"/>
    <w:rsid w:val="002109AD"/>
    <w:rsid w:val="00215409"/>
    <w:rsid w:val="00226EDD"/>
    <w:rsid w:val="002328DD"/>
    <w:rsid w:val="00233EF7"/>
    <w:rsid w:val="002353E6"/>
    <w:rsid w:val="00252AF7"/>
    <w:rsid w:val="0026093B"/>
    <w:rsid w:val="0026641E"/>
    <w:rsid w:val="002B22B3"/>
    <w:rsid w:val="002B5297"/>
    <w:rsid w:val="002C70E0"/>
    <w:rsid w:val="002E70E7"/>
    <w:rsid w:val="002F6514"/>
    <w:rsid w:val="002F66AC"/>
    <w:rsid w:val="00306D88"/>
    <w:rsid w:val="003237B3"/>
    <w:rsid w:val="003273BB"/>
    <w:rsid w:val="003342E9"/>
    <w:rsid w:val="003351AD"/>
    <w:rsid w:val="00343412"/>
    <w:rsid w:val="00346906"/>
    <w:rsid w:val="00352443"/>
    <w:rsid w:val="00392331"/>
    <w:rsid w:val="003B3861"/>
    <w:rsid w:val="003C24C8"/>
    <w:rsid w:val="003C5FF4"/>
    <w:rsid w:val="003D21CB"/>
    <w:rsid w:val="003D4277"/>
    <w:rsid w:val="003D437A"/>
    <w:rsid w:val="003E139C"/>
    <w:rsid w:val="003F2976"/>
    <w:rsid w:val="0040453A"/>
    <w:rsid w:val="004072D6"/>
    <w:rsid w:val="00416052"/>
    <w:rsid w:val="00424C26"/>
    <w:rsid w:val="004258CD"/>
    <w:rsid w:val="00434ED7"/>
    <w:rsid w:val="00441334"/>
    <w:rsid w:val="00464DE0"/>
    <w:rsid w:val="00467746"/>
    <w:rsid w:val="00470685"/>
    <w:rsid w:val="004748C9"/>
    <w:rsid w:val="00480FD8"/>
    <w:rsid w:val="004861A0"/>
    <w:rsid w:val="00491BD9"/>
    <w:rsid w:val="004924C0"/>
    <w:rsid w:val="004A2228"/>
    <w:rsid w:val="004B256A"/>
    <w:rsid w:val="004D70F0"/>
    <w:rsid w:val="004F0CF4"/>
    <w:rsid w:val="004F0DB8"/>
    <w:rsid w:val="004F60D4"/>
    <w:rsid w:val="00506A21"/>
    <w:rsid w:val="005252AD"/>
    <w:rsid w:val="00525353"/>
    <w:rsid w:val="00535106"/>
    <w:rsid w:val="00537DCD"/>
    <w:rsid w:val="0054039D"/>
    <w:rsid w:val="0056446A"/>
    <w:rsid w:val="005717E5"/>
    <w:rsid w:val="005964FD"/>
    <w:rsid w:val="005C4FDC"/>
    <w:rsid w:val="005D43D5"/>
    <w:rsid w:val="005E14A9"/>
    <w:rsid w:val="00602B0C"/>
    <w:rsid w:val="0061612B"/>
    <w:rsid w:val="00621E13"/>
    <w:rsid w:val="00622081"/>
    <w:rsid w:val="00623DE9"/>
    <w:rsid w:val="00630817"/>
    <w:rsid w:val="0063478D"/>
    <w:rsid w:val="00644D41"/>
    <w:rsid w:val="00680D3C"/>
    <w:rsid w:val="00691BA8"/>
    <w:rsid w:val="00692029"/>
    <w:rsid w:val="006926C5"/>
    <w:rsid w:val="006950D9"/>
    <w:rsid w:val="006955CE"/>
    <w:rsid w:val="00696942"/>
    <w:rsid w:val="00697D36"/>
    <w:rsid w:val="006A2AA1"/>
    <w:rsid w:val="006E385E"/>
    <w:rsid w:val="006E4CB9"/>
    <w:rsid w:val="00706173"/>
    <w:rsid w:val="00706372"/>
    <w:rsid w:val="00715DCE"/>
    <w:rsid w:val="00754129"/>
    <w:rsid w:val="00774605"/>
    <w:rsid w:val="00781729"/>
    <w:rsid w:val="00793A10"/>
    <w:rsid w:val="00797BFA"/>
    <w:rsid w:val="007A7C28"/>
    <w:rsid w:val="007B301F"/>
    <w:rsid w:val="007B55DB"/>
    <w:rsid w:val="007F14FE"/>
    <w:rsid w:val="00814A2E"/>
    <w:rsid w:val="008168D4"/>
    <w:rsid w:val="00840A24"/>
    <w:rsid w:val="008462F4"/>
    <w:rsid w:val="00853A49"/>
    <w:rsid w:val="008566D8"/>
    <w:rsid w:val="0087036B"/>
    <w:rsid w:val="00876B83"/>
    <w:rsid w:val="00892958"/>
    <w:rsid w:val="008A2138"/>
    <w:rsid w:val="00907E0F"/>
    <w:rsid w:val="00915FAE"/>
    <w:rsid w:val="00921F90"/>
    <w:rsid w:val="00922F8A"/>
    <w:rsid w:val="009301B6"/>
    <w:rsid w:val="009430B8"/>
    <w:rsid w:val="00944AAA"/>
    <w:rsid w:val="00955023"/>
    <w:rsid w:val="009676FF"/>
    <w:rsid w:val="009772BD"/>
    <w:rsid w:val="00984555"/>
    <w:rsid w:val="00986CA0"/>
    <w:rsid w:val="0099791E"/>
    <w:rsid w:val="009A29CD"/>
    <w:rsid w:val="009A62A4"/>
    <w:rsid w:val="009A7814"/>
    <w:rsid w:val="009B3B3D"/>
    <w:rsid w:val="009B5302"/>
    <w:rsid w:val="009C553B"/>
    <w:rsid w:val="009E668E"/>
    <w:rsid w:val="009F5618"/>
    <w:rsid w:val="00A06D70"/>
    <w:rsid w:val="00A105DA"/>
    <w:rsid w:val="00A10946"/>
    <w:rsid w:val="00A16290"/>
    <w:rsid w:val="00A31447"/>
    <w:rsid w:val="00A31BFD"/>
    <w:rsid w:val="00A3243C"/>
    <w:rsid w:val="00A556EC"/>
    <w:rsid w:val="00A6083D"/>
    <w:rsid w:val="00A640D8"/>
    <w:rsid w:val="00A8541C"/>
    <w:rsid w:val="00A97F86"/>
    <w:rsid w:val="00AE7A69"/>
    <w:rsid w:val="00AF0F0D"/>
    <w:rsid w:val="00AF3762"/>
    <w:rsid w:val="00AF4427"/>
    <w:rsid w:val="00B00E21"/>
    <w:rsid w:val="00B33B7E"/>
    <w:rsid w:val="00B47029"/>
    <w:rsid w:val="00B52FB0"/>
    <w:rsid w:val="00B73486"/>
    <w:rsid w:val="00B73A84"/>
    <w:rsid w:val="00B77885"/>
    <w:rsid w:val="00B91DC3"/>
    <w:rsid w:val="00B9705D"/>
    <w:rsid w:val="00BA5637"/>
    <w:rsid w:val="00BD11C3"/>
    <w:rsid w:val="00BD18CB"/>
    <w:rsid w:val="00BE0697"/>
    <w:rsid w:val="00BE1650"/>
    <w:rsid w:val="00BF75D4"/>
    <w:rsid w:val="00C22C0B"/>
    <w:rsid w:val="00C23DF6"/>
    <w:rsid w:val="00C429B3"/>
    <w:rsid w:val="00C4685D"/>
    <w:rsid w:val="00C810DC"/>
    <w:rsid w:val="00C84454"/>
    <w:rsid w:val="00CD2984"/>
    <w:rsid w:val="00D11C9A"/>
    <w:rsid w:val="00D16BCD"/>
    <w:rsid w:val="00D2005F"/>
    <w:rsid w:val="00D57976"/>
    <w:rsid w:val="00D6051F"/>
    <w:rsid w:val="00D62FA8"/>
    <w:rsid w:val="00D67438"/>
    <w:rsid w:val="00DA236C"/>
    <w:rsid w:val="00DB1FA2"/>
    <w:rsid w:val="00DC2449"/>
    <w:rsid w:val="00DC54D1"/>
    <w:rsid w:val="00DD7BC9"/>
    <w:rsid w:val="00DE74B2"/>
    <w:rsid w:val="00DF3304"/>
    <w:rsid w:val="00E01A49"/>
    <w:rsid w:val="00E1477D"/>
    <w:rsid w:val="00E232A9"/>
    <w:rsid w:val="00E73ED2"/>
    <w:rsid w:val="00E74188"/>
    <w:rsid w:val="00E94E6A"/>
    <w:rsid w:val="00E95889"/>
    <w:rsid w:val="00EB2012"/>
    <w:rsid w:val="00EB31CA"/>
    <w:rsid w:val="00EB42DF"/>
    <w:rsid w:val="00EB738A"/>
    <w:rsid w:val="00EC2787"/>
    <w:rsid w:val="00EF111A"/>
    <w:rsid w:val="00F14C4F"/>
    <w:rsid w:val="00F62861"/>
    <w:rsid w:val="00F7604D"/>
    <w:rsid w:val="00F93512"/>
    <w:rsid w:val="00F937C5"/>
    <w:rsid w:val="00F93D26"/>
    <w:rsid w:val="00FA70CC"/>
    <w:rsid w:val="00FB5D53"/>
    <w:rsid w:val="00FD165B"/>
    <w:rsid w:val="00FD2CCC"/>
    <w:rsid w:val="00FE0C3B"/>
    <w:rsid w:val="00FE2FA7"/>
    <w:rsid w:val="00FF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E8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781729"/>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D18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CB"/>
    <w:rPr>
      <w:rFonts w:ascii="Segoe UI" w:hAnsi="Segoe UI" w:cs="Segoe UI"/>
      <w:color w:val="000000"/>
      <w:sz w:val="18"/>
      <w:szCs w:val="18"/>
      <w:lang w:val="ro-RO"/>
    </w:rPr>
  </w:style>
  <w:style w:type="paragraph" w:customStyle="1" w:styleId="Addressee">
    <w:name w:val="Addressee"/>
    <w:rsid w:val="00FB5D53"/>
    <w:pPr>
      <w:pBdr>
        <w:top w:val="nil"/>
        <w:left w:val="nil"/>
        <w:bottom w:val="nil"/>
        <w:right w:val="nil"/>
        <w:between w:val="nil"/>
        <w:bar w:val="nil"/>
      </w:pBdr>
      <w:spacing w:after="0" w:line="240" w:lineRule="auto"/>
    </w:pPr>
    <w:rPr>
      <w:rFonts w:ascii="Avenir Next" w:eastAsia="Avenir Next" w:hAnsi="Avenir Next" w:cs="Avenir Next"/>
      <w:color w:val="000000"/>
      <w:sz w:val="20"/>
      <w:szCs w:val="20"/>
      <w:bdr w:val="nil"/>
    </w:rPr>
  </w:style>
  <w:style w:type="character" w:styleId="Emphasis">
    <w:name w:val="Emphasis"/>
    <w:basedOn w:val="DefaultParagraphFont"/>
    <w:uiPriority w:val="20"/>
    <w:qFormat/>
    <w:rsid w:val="00944AAA"/>
    <w:rPr>
      <w:i/>
      <w:iCs/>
    </w:rPr>
  </w:style>
  <w:style w:type="character" w:styleId="Hyperlink">
    <w:name w:val="Hyperlink"/>
    <w:basedOn w:val="DefaultParagraphFont"/>
    <w:uiPriority w:val="99"/>
    <w:unhideWhenUsed/>
    <w:rsid w:val="00F62861"/>
    <w:rPr>
      <w:color w:val="0563C1" w:themeColor="hyperlink"/>
      <w:u w:val="single"/>
    </w:rPr>
  </w:style>
  <w:style w:type="character" w:customStyle="1" w:styleId="Heading1Char">
    <w:name w:val="Heading 1 Char"/>
    <w:basedOn w:val="DefaultParagraphFont"/>
    <w:link w:val="Heading1"/>
    <w:uiPriority w:val="9"/>
    <w:rsid w:val="00781729"/>
    <w:rPr>
      <w:rFonts w:ascii="Times New Roman" w:eastAsia="Times New Roman" w:hAnsi="Times New Roman" w:cs="Times New Roman"/>
      <w:b/>
      <w:bCs/>
      <w:kern w:val="36"/>
      <w:sz w:val="48"/>
      <w:szCs w:val="48"/>
      <w:lang w:val="en-GB" w:eastAsia="en-GB"/>
    </w:rPr>
  </w:style>
  <w:style w:type="paragraph" w:customStyle="1" w:styleId="rtejustify">
    <w:name w:val="rtejustify"/>
    <w:basedOn w:val="Normal"/>
    <w:rsid w:val="00781729"/>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qFormat/>
    <w:rsid w:val="000D0F24"/>
    <w:pPr>
      <w:ind w:left="720"/>
      <w:contextualSpacing/>
    </w:pPr>
  </w:style>
  <w:style w:type="paragraph" w:customStyle="1" w:styleId="Default">
    <w:name w:val="Default"/>
    <w:rsid w:val="006E385E"/>
    <w:pPr>
      <w:autoSpaceDE w:val="0"/>
      <w:autoSpaceDN w:val="0"/>
      <w:adjustRightInd w:val="0"/>
      <w:spacing w:after="0" w:line="240" w:lineRule="auto"/>
    </w:pPr>
    <w:rPr>
      <w:rFonts w:ascii="Trebuchet MS" w:hAnsi="Trebuchet MS" w:cs="Trebuchet MS"/>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070993">
      <w:bodyDiv w:val="1"/>
      <w:marLeft w:val="0"/>
      <w:marRight w:val="0"/>
      <w:marTop w:val="0"/>
      <w:marBottom w:val="0"/>
      <w:divBdr>
        <w:top w:val="none" w:sz="0" w:space="0" w:color="auto"/>
        <w:left w:val="none" w:sz="0" w:space="0" w:color="auto"/>
        <w:bottom w:val="none" w:sz="0" w:space="0" w:color="auto"/>
        <w:right w:val="none" w:sz="0" w:space="0" w:color="auto"/>
      </w:divBdr>
    </w:div>
    <w:div w:id="1568878651">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binet@edu.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4105-6B7F-47B0-BB39-474578FA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2021-03-25T08:47:00Z</dcterms:created>
  <dcterms:modified xsi:type="dcterms:W3CDTF">2021-03-25T09:33:00Z</dcterms:modified>
</cp:coreProperties>
</file>