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7C3A0" w14:textId="16A3AD2C" w:rsidR="00465150" w:rsidRPr="004527B5" w:rsidRDefault="004C0E0F" w:rsidP="00E12B61">
      <w:pPr>
        <w:pStyle w:val="rtejustify"/>
        <w:shd w:val="clear" w:color="auto" w:fill="FFFFFF"/>
        <w:spacing w:before="0" w:beforeAutospacing="0" w:after="150" w:afterAutospacing="0" w:line="276" w:lineRule="auto"/>
        <w:jc w:val="right"/>
        <w:rPr>
          <w:rFonts w:asciiTheme="minorHAnsi" w:hAnsiTheme="minorHAnsi" w:cs="Arial"/>
          <w:b/>
          <w:color w:val="0070C0"/>
          <w:sz w:val="21"/>
          <w:szCs w:val="21"/>
          <w:lang w:val="ro-RO"/>
        </w:rPr>
      </w:pPr>
      <w:r>
        <w:rPr>
          <w:rFonts w:asciiTheme="minorHAnsi" w:hAnsiTheme="minorHAnsi" w:cs="Arial"/>
          <w:b/>
          <w:color w:val="0070C0"/>
          <w:sz w:val="21"/>
          <w:szCs w:val="21"/>
          <w:lang w:val="ro-RO"/>
        </w:rPr>
        <w:t>20</w:t>
      </w:r>
      <w:r w:rsidR="00C47C48">
        <w:rPr>
          <w:rFonts w:asciiTheme="minorHAnsi" w:hAnsiTheme="minorHAnsi" w:cs="Arial"/>
          <w:b/>
          <w:color w:val="0070C0"/>
          <w:sz w:val="21"/>
          <w:szCs w:val="21"/>
          <w:lang w:val="ro-RO"/>
        </w:rPr>
        <w:t xml:space="preserve"> </w:t>
      </w:r>
      <w:r w:rsidR="00DA7258" w:rsidRPr="004527B5">
        <w:rPr>
          <w:rFonts w:asciiTheme="minorHAnsi" w:hAnsiTheme="minorHAnsi" w:cs="Arial"/>
          <w:b/>
          <w:color w:val="0070C0"/>
          <w:sz w:val="21"/>
          <w:szCs w:val="21"/>
          <w:lang w:val="ro-RO"/>
        </w:rPr>
        <w:t>i</w:t>
      </w:r>
      <w:r w:rsidR="000F0A33">
        <w:rPr>
          <w:rFonts w:asciiTheme="minorHAnsi" w:hAnsiTheme="minorHAnsi" w:cs="Arial"/>
          <w:b/>
          <w:color w:val="0070C0"/>
          <w:sz w:val="21"/>
          <w:szCs w:val="21"/>
          <w:lang w:val="ro-RO"/>
        </w:rPr>
        <w:t>ul</w:t>
      </w:r>
      <w:r w:rsidR="00E41EF1" w:rsidRPr="004527B5">
        <w:rPr>
          <w:rFonts w:asciiTheme="minorHAnsi" w:hAnsiTheme="minorHAnsi" w:cs="Arial"/>
          <w:b/>
          <w:color w:val="0070C0"/>
          <w:sz w:val="21"/>
          <w:szCs w:val="21"/>
          <w:lang w:val="ro-RO"/>
        </w:rPr>
        <w:t>ie</w:t>
      </w:r>
      <w:r w:rsidR="005071B5" w:rsidRPr="004527B5">
        <w:rPr>
          <w:rFonts w:asciiTheme="minorHAnsi" w:hAnsiTheme="minorHAnsi" w:cs="Arial"/>
          <w:b/>
          <w:color w:val="0070C0"/>
          <w:sz w:val="21"/>
          <w:szCs w:val="21"/>
          <w:lang w:val="ro-RO"/>
        </w:rPr>
        <w:t xml:space="preserve"> 2022</w:t>
      </w:r>
    </w:p>
    <w:p w14:paraId="6233F28B" w14:textId="1CB40D9B" w:rsidR="00294332" w:rsidRPr="004527B5" w:rsidRDefault="002C1530" w:rsidP="00294332">
      <w:pPr>
        <w:pStyle w:val="Heading1"/>
        <w:pBdr>
          <w:bottom w:val="single" w:sz="6" w:space="2" w:color="B9D2E3"/>
        </w:pBdr>
        <w:shd w:val="clear" w:color="auto" w:fill="FFFFFF"/>
        <w:spacing w:before="0" w:beforeAutospacing="0" w:after="0" w:afterAutospacing="0" w:line="276" w:lineRule="auto"/>
        <w:ind w:right="75"/>
        <w:jc w:val="center"/>
        <w:rPr>
          <w:rFonts w:asciiTheme="minorHAnsi" w:hAnsiTheme="minorHAnsi" w:cs="Tahoma"/>
          <w:color w:val="0070C0"/>
          <w:sz w:val="21"/>
          <w:szCs w:val="21"/>
          <w:lang w:val="ro-RO"/>
        </w:rPr>
      </w:pPr>
      <w:r>
        <w:rPr>
          <w:rFonts w:asciiTheme="minorHAnsi" w:hAnsiTheme="minorHAnsi" w:cs="Tahoma"/>
          <w:color w:val="0070C0"/>
          <w:sz w:val="21"/>
          <w:szCs w:val="21"/>
          <w:lang w:val="ro-RO"/>
        </w:rPr>
        <w:t>Declarație</w:t>
      </w:r>
      <w:r w:rsidR="00465150" w:rsidRPr="004527B5">
        <w:rPr>
          <w:rFonts w:asciiTheme="minorHAnsi" w:hAnsiTheme="minorHAnsi" w:cs="Tahoma"/>
          <w:color w:val="0070C0"/>
          <w:sz w:val="21"/>
          <w:szCs w:val="21"/>
          <w:lang w:val="ro-RO"/>
        </w:rPr>
        <w:t xml:space="preserve"> de presă</w:t>
      </w:r>
    </w:p>
    <w:p w14:paraId="046BAD7A" w14:textId="4797D803" w:rsidR="004C0E0F" w:rsidRPr="004C0E0F" w:rsidRDefault="004C0E0F" w:rsidP="004C0E0F">
      <w:pPr>
        <w:tabs>
          <w:tab w:val="left" w:pos="540"/>
        </w:tabs>
        <w:spacing w:before="100" w:beforeAutospacing="1" w:after="100" w:afterAutospacing="1" w:line="360" w:lineRule="auto"/>
        <w:jc w:val="center"/>
        <w:rPr>
          <w:rFonts w:eastAsia="Times New Roman" w:cstheme="majorHAnsi"/>
          <w:b/>
          <w:color w:val="0070C0"/>
          <w:sz w:val="23"/>
          <w:szCs w:val="23"/>
          <w:lang w:eastAsia="en-GB"/>
        </w:rPr>
      </w:pPr>
      <w:r w:rsidRPr="004C0E0F">
        <w:rPr>
          <w:b/>
          <w:color w:val="0070C0"/>
          <w:sz w:val="23"/>
          <w:szCs w:val="23"/>
        </w:rPr>
        <w:t>Plagiatul se sancționează cu retragerea titlului de doctor!</w:t>
      </w:r>
    </w:p>
    <w:p w14:paraId="3340AC1E" w14:textId="3FF8A327" w:rsidR="004C0E0F" w:rsidRPr="004C0E0F" w:rsidRDefault="004C0E0F" w:rsidP="004C0E0F">
      <w:pPr>
        <w:rPr>
          <w:b/>
          <w:sz w:val="21"/>
          <w:szCs w:val="21"/>
        </w:rPr>
      </w:pPr>
      <w:r w:rsidRPr="004C0E0F">
        <w:rPr>
          <w:b/>
          <w:sz w:val="21"/>
          <w:szCs w:val="21"/>
        </w:rPr>
        <w:t>Comisia Națională de Etică a Titlurilor Universitare va verifica existența plagiatului în lucrările de doctorat! După constatarea plagiatului de către Comisia Națională de Etică a Titlurilor Universitare, Ministerul Educației va avea obligația să formuleze acțiu</w:t>
      </w:r>
      <w:r>
        <w:rPr>
          <w:b/>
          <w:sz w:val="21"/>
          <w:szCs w:val="21"/>
        </w:rPr>
        <w:t>ne în instanță pentru anularea o</w:t>
      </w:r>
      <w:r w:rsidRPr="004C0E0F">
        <w:rPr>
          <w:b/>
          <w:sz w:val="21"/>
          <w:szCs w:val="21"/>
        </w:rPr>
        <w:t xml:space="preserve">rdinului prin care s-a acordat titlul de doctor. </w:t>
      </w:r>
    </w:p>
    <w:p w14:paraId="55C6F556" w14:textId="77777777" w:rsidR="004C0E0F" w:rsidRPr="004C0E0F" w:rsidRDefault="004C0E0F" w:rsidP="004C0E0F">
      <w:pPr>
        <w:rPr>
          <w:b/>
          <w:sz w:val="21"/>
          <w:szCs w:val="21"/>
        </w:rPr>
      </w:pPr>
      <w:r w:rsidRPr="004C0E0F">
        <w:rPr>
          <w:b/>
          <w:sz w:val="21"/>
          <w:szCs w:val="21"/>
        </w:rPr>
        <w:t>Prevederile noii Legi a învățământului superior, în situația adoptării acesteia, se vor aplica pentru viitor, sesizările în curs urmând a fi soluționate de CNATDCU potrivit normelor aplicabile la data formulării acestora.</w:t>
      </w:r>
    </w:p>
    <w:p w14:paraId="043739A5" w14:textId="491875EF" w:rsidR="004C0E0F" w:rsidRPr="004C0E0F" w:rsidRDefault="004C0E0F" w:rsidP="004C0E0F">
      <w:pPr>
        <w:rPr>
          <w:b/>
          <w:sz w:val="21"/>
          <w:szCs w:val="21"/>
        </w:rPr>
      </w:pPr>
      <w:r w:rsidRPr="004C0E0F">
        <w:rPr>
          <w:sz w:val="21"/>
          <w:szCs w:val="21"/>
        </w:rPr>
        <w:t>Comisia Națională de Etică a Titlurilor Universitare (CNETU) este definită în lege ca o instanță de apel supremă la nivel academic, o instituție care să trateze cu profesiona</w:t>
      </w:r>
      <w:r>
        <w:rPr>
          <w:sz w:val="21"/>
          <w:szCs w:val="21"/>
        </w:rPr>
        <w:t>lism orice sesizare, primită din</w:t>
      </w:r>
      <w:r w:rsidRPr="004C0E0F">
        <w:rPr>
          <w:sz w:val="21"/>
          <w:szCs w:val="21"/>
        </w:rPr>
        <w:t xml:space="preserve"> orice sursă, cu privire la respectarea condițiilor de etică în dobând</w:t>
      </w:r>
      <w:r>
        <w:rPr>
          <w:sz w:val="21"/>
          <w:szCs w:val="21"/>
        </w:rPr>
        <w:t>ir</w:t>
      </w:r>
      <w:r w:rsidRPr="004C0E0F">
        <w:rPr>
          <w:sz w:val="21"/>
          <w:szCs w:val="21"/>
        </w:rPr>
        <w:t xml:space="preserve">ea titlurilor universitare, inclusiv plângerile împotriva comisiilor de etică din universități. CNETU va deveni o instanță de apel puternic profesionalizată/specializată. </w:t>
      </w:r>
    </w:p>
    <w:p w14:paraId="153F1973" w14:textId="23201FDA" w:rsidR="004C0E0F" w:rsidRPr="004C0E0F" w:rsidRDefault="004C0E0F" w:rsidP="004C0E0F">
      <w:pPr>
        <w:pStyle w:val="IntenseQuote"/>
        <w:rPr>
          <w:b/>
          <w:sz w:val="21"/>
          <w:szCs w:val="21"/>
        </w:rPr>
      </w:pPr>
      <w:r w:rsidRPr="004C0E0F">
        <w:rPr>
          <w:b/>
          <w:sz w:val="21"/>
          <w:szCs w:val="21"/>
        </w:rPr>
        <w:t>Comisia Națională de Etică a Titlurilor Universitare poate și trebuie să preia cei mai buni specialiști CNATDCU.</w:t>
      </w:r>
    </w:p>
    <w:p w14:paraId="30C00CCC" w14:textId="77777777" w:rsidR="004C0E0F" w:rsidRPr="004C0E0F" w:rsidRDefault="004C0E0F" w:rsidP="004C0E0F">
      <w:pPr>
        <w:rPr>
          <w:color w:val="auto"/>
          <w:sz w:val="21"/>
          <w:szCs w:val="21"/>
        </w:rPr>
      </w:pPr>
      <w:r w:rsidRPr="004C0E0F">
        <w:rPr>
          <w:sz w:val="21"/>
          <w:szCs w:val="21"/>
        </w:rPr>
        <w:t>Argumente pentru profesionalizarea structurilor și mecanismelor de prevenire și verificare a abaterilor de la etica universitară:</w:t>
      </w:r>
    </w:p>
    <w:p w14:paraId="52B7B48B" w14:textId="7278A66B" w:rsidR="004C0E0F" w:rsidRPr="004C0E0F" w:rsidRDefault="004C0E0F" w:rsidP="004C0E0F">
      <w:pPr>
        <w:rPr>
          <w:sz w:val="21"/>
          <w:szCs w:val="21"/>
        </w:rPr>
      </w:pPr>
      <w:r w:rsidRPr="004C0E0F">
        <w:rPr>
          <w:sz w:val="21"/>
          <w:szCs w:val="21"/>
        </w:rPr>
        <w:t>1. CNETU va analiza orice solicitare și va const</w:t>
      </w:r>
      <w:r>
        <w:rPr>
          <w:sz w:val="21"/>
          <w:szCs w:val="21"/>
        </w:rPr>
        <w:t>ata plagiatele! Va fi o instanță</w:t>
      </w:r>
      <w:r w:rsidRPr="004C0E0F">
        <w:rPr>
          <w:sz w:val="21"/>
          <w:szCs w:val="21"/>
        </w:rPr>
        <w:t xml:space="preserve"> de apel puternic specializată/profesionalizată care va avea responsabilitatea analizei tuturor sesizărilor/plângerilor, inclusiv împotriva deciziilor comisiilor de etică din universități.</w:t>
      </w:r>
    </w:p>
    <w:p w14:paraId="6C960871" w14:textId="54956264" w:rsidR="004C0E0F" w:rsidRPr="004C0E0F" w:rsidRDefault="004C0E0F" w:rsidP="004C0E0F">
      <w:pPr>
        <w:rPr>
          <w:sz w:val="21"/>
          <w:szCs w:val="21"/>
        </w:rPr>
      </w:pPr>
      <w:r>
        <w:rPr>
          <w:sz w:val="21"/>
          <w:szCs w:val="21"/>
        </w:rPr>
        <w:t>2. Universită</w:t>
      </w:r>
      <w:r w:rsidRPr="004C0E0F">
        <w:rPr>
          <w:sz w:val="21"/>
          <w:szCs w:val="21"/>
        </w:rPr>
        <w:t>țile sunt cele care acord</w:t>
      </w:r>
      <w:r>
        <w:rPr>
          <w:sz w:val="21"/>
          <w:szCs w:val="21"/>
        </w:rPr>
        <w:t>ă</w:t>
      </w:r>
      <w:r w:rsidRPr="004C0E0F">
        <w:rPr>
          <w:sz w:val="21"/>
          <w:szCs w:val="21"/>
        </w:rPr>
        <w:t xml:space="preserve"> titlul de doctor în toate statele în care funcționează sisteme avansate/performante de educație. Acordarea titlului de doctor trebuie să fie o prerogativă a universității care acordă titlurile pe toate cele 3 cicluri de studii: Licență, Master și Doctorat.</w:t>
      </w:r>
    </w:p>
    <w:p w14:paraId="52CECFFC" w14:textId="77777777" w:rsidR="004C0E0F" w:rsidRPr="004C0E0F" w:rsidRDefault="004C0E0F" w:rsidP="004C0E0F">
      <w:pPr>
        <w:rPr>
          <w:sz w:val="21"/>
          <w:szCs w:val="21"/>
        </w:rPr>
      </w:pPr>
      <w:r w:rsidRPr="004C0E0F">
        <w:rPr>
          <w:sz w:val="21"/>
          <w:szCs w:val="21"/>
        </w:rPr>
        <w:t>3. Universitățile sunt cele care organizează admiterea și înmatricularea studenților doctoranzi, care asigură procesul de pregătire doctorală, stabilește comisiile de susținere, asigură îndrumarea, susținerea și notarea examenelor și referatelor și, la finalul pregătirii doctorale, asigură și asumă susținerea tezei de doctorat. Este firesc și imperios necesar ca toate instituțiile de învățământ superior să își asume și responsabilitatea acordării titlului de doctor.</w:t>
      </w:r>
    </w:p>
    <w:p w14:paraId="630DD6FA" w14:textId="1B89B3E4" w:rsidR="004C0E0F" w:rsidRPr="004C0E0F" w:rsidRDefault="004C0E0F" w:rsidP="004C0E0F">
      <w:pPr>
        <w:rPr>
          <w:sz w:val="21"/>
          <w:szCs w:val="21"/>
        </w:rPr>
      </w:pPr>
      <w:r w:rsidRPr="004C0E0F">
        <w:rPr>
          <w:sz w:val="21"/>
          <w:szCs w:val="21"/>
        </w:rPr>
        <w:t>4. Legislația actuală disipează asumarea răspunderii putând genera situații grave.  În prezent, conducerile</w:t>
      </w:r>
      <w:r>
        <w:rPr>
          <w:sz w:val="21"/>
          <w:szCs w:val="21"/>
        </w:rPr>
        <w:t xml:space="preserve"> universităților știu ca dacă „a</w:t>
      </w:r>
      <w:r w:rsidRPr="004C0E0F">
        <w:rPr>
          <w:sz w:val="21"/>
          <w:szCs w:val="21"/>
        </w:rPr>
        <w:t>par erori din perspectiva științifică sau a eticii”, tezele de doctorat vor mai fi validate, în mod strict formal/birocratic</w:t>
      </w:r>
      <w:r>
        <w:rPr>
          <w:sz w:val="21"/>
          <w:szCs w:val="21"/>
        </w:rPr>
        <w:t>,</w:t>
      </w:r>
      <w:r w:rsidRPr="004C0E0F">
        <w:rPr>
          <w:sz w:val="21"/>
          <w:szCs w:val="21"/>
        </w:rPr>
        <w:t xml:space="preserve"> pe 3 paliere: comisia de specialitate CNATDCU, Cons</w:t>
      </w:r>
      <w:r>
        <w:rPr>
          <w:sz w:val="21"/>
          <w:szCs w:val="21"/>
        </w:rPr>
        <w:t>iliul General CNATDCU și prin or</w:t>
      </w:r>
      <w:r w:rsidRPr="004C0E0F">
        <w:rPr>
          <w:sz w:val="21"/>
          <w:szCs w:val="21"/>
        </w:rPr>
        <w:t xml:space="preserve">din de ministru de atribuire a titlului de doctor, degrevând instituțiile de învățământ superior de asumarea răspunderii din </w:t>
      </w:r>
      <w:r w:rsidRPr="004C0E0F">
        <w:rPr>
          <w:sz w:val="21"/>
          <w:szCs w:val="21"/>
        </w:rPr>
        <w:lastRenderedPageBreak/>
        <w:t>perspectiva respectării normelor de etică universitară. Consiliul General CNATDCU nu citește/nu analizează NICIODATĂ conținutul ști</w:t>
      </w:r>
      <w:r>
        <w:rPr>
          <w:sz w:val="21"/>
          <w:szCs w:val="21"/>
        </w:rPr>
        <w:t xml:space="preserve">ințific al tezelor de doctorat: </w:t>
      </w:r>
      <w:r w:rsidRPr="004C0E0F">
        <w:rPr>
          <w:sz w:val="21"/>
          <w:szCs w:val="21"/>
        </w:rPr>
        <w:t xml:space="preserve">se votează strict formal, neexistând nicio situație de plagiat ex-ante acordării unui titlu de doctor identificată de membrii Consiliului CNATDCU. </w:t>
      </w:r>
      <w:r w:rsidRPr="004C0E0F">
        <w:rPr>
          <w:b/>
          <w:sz w:val="21"/>
          <w:szCs w:val="21"/>
        </w:rPr>
        <w:t>Consiliul General CNATDCU votează doar nume și titlturi de teze!</w:t>
      </w:r>
      <w:r w:rsidRPr="004C0E0F">
        <w:rPr>
          <w:sz w:val="21"/>
          <w:szCs w:val="21"/>
        </w:rPr>
        <w:t xml:space="preserve"> Și asta deși HG 681/2011 prevede verificarea de către CNATDCU a conținutului știintific, inclusiv din perspectiva existenței plagiatului. Într-o singură ședință/sesiune a Consiliului General CNATDCU se validează sute de teze de doctorat care au sute de pagini fiecare, în peste 70 de domenii diferite. </w:t>
      </w:r>
    </w:p>
    <w:p w14:paraId="24FD2C42" w14:textId="77777777" w:rsidR="004C0E0F" w:rsidRPr="004C0E0F" w:rsidRDefault="004C0E0F" w:rsidP="004C0E0F">
      <w:pPr>
        <w:rPr>
          <w:sz w:val="21"/>
          <w:szCs w:val="21"/>
        </w:rPr>
      </w:pPr>
      <w:r w:rsidRPr="004C0E0F">
        <w:rPr>
          <w:sz w:val="21"/>
          <w:szCs w:val="21"/>
        </w:rPr>
        <w:t>5. Instituțiile de învățământ superior au solicitat în repetate rânduri modificarea legislației în sensul asumării de către universități a acordării titlurilor de doctor, în acord cu responsabilitatea universităților în formarea la nivel de Licență/Master/Doctorat, precum și în acord cu practicile internaționale.</w:t>
      </w:r>
    </w:p>
    <w:p w14:paraId="1FA69488" w14:textId="77777777" w:rsidR="00E7665F" w:rsidRDefault="004C0E0F" w:rsidP="004C0E0F">
      <w:pPr>
        <w:rPr>
          <w:sz w:val="21"/>
          <w:szCs w:val="21"/>
        </w:rPr>
      </w:pPr>
      <w:r w:rsidRPr="004C0E0F">
        <w:rPr>
          <w:sz w:val="21"/>
          <w:szCs w:val="21"/>
        </w:rPr>
        <w:t>6. Odată cu participarea instituțiilor de învățământ superior românești în Alianțe de universități europene și introducerea programe</w:t>
      </w:r>
      <w:r>
        <w:rPr>
          <w:sz w:val="21"/>
          <w:szCs w:val="21"/>
        </w:rPr>
        <w:t>lor de studii doctorale de tip „</w:t>
      </w:r>
      <w:r w:rsidRPr="004C0E0F">
        <w:rPr>
          <w:sz w:val="21"/>
          <w:szCs w:val="21"/>
        </w:rPr>
        <w:t>joint degree” care se finalizează cu o diplomă comună, oare cum ar putea fi acordat titlul de doctor pentru o universitate occidentală de către rectorul/președintele universității, iar pentru o universitate românească să fie ministrul educației cel ce semnează și asumă acordarea titlului de doctor? Răspuns: Nicicum!</w:t>
      </w:r>
    </w:p>
    <w:p w14:paraId="3C9D2F44" w14:textId="01291210" w:rsidR="00E7665F" w:rsidRDefault="004C0E0F" w:rsidP="004C0E0F">
      <w:pPr>
        <w:rPr>
          <w:sz w:val="21"/>
          <w:szCs w:val="21"/>
        </w:rPr>
      </w:pPr>
      <w:r w:rsidRPr="004C0E0F">
        <w:rPr>
          <w:sz w:val="21"/>
          <w:szCs w:val="21"/>
        </w:rPr>
        <w:t xml:space="preserve">7. În noul proiect al Legii învățământului superior </w:t>
      </w:r>
      <w:r w:rsidRPr="004C0E0F">
        <w:rPr>
          <w:b/>
          <w:sz w:val="21"/>
          <w:szCs w:val="21"/>
        </w:rPr>
        <w:t>Comisia Națională de Etică a Managementului Universitar</w:t>
      </w:r>
      <w:r w:rsidRPr="004C0E0F">
        <w:rPr>
          <w:sz w:val="21"/>
          <w:szCs w:val="21"/>
        </w:rPr>
        <w:t xml:space="preserve"> se pronunţă asupra litigiilor privind nerespectarea eticii în managementul universitar și asupra litigiilor referitoare la încălcarea răspunderii publice, iar </w:t>
      </w:r>
      <w:r w:rsidRPr="004C0E0F">
        <w:rPr>
          <w:b/>
          <w:sz w:val="21"/>
          <w:szCs w:val="21"/>
        </w:rPr>
        <w:t xml:space="preserve">Comisia Națională de Standardizare a Titlurilor și Gradelor Universitare (CNSTGU) </w:t>
      </w:r>
      <w:r w:rsidRPr="004C0E0F">
        <w:rPr>
          <w:sz w:val="21"/>
          <w:szCs w:val="21"/>
        </w:rPr>
        <w:t>va fi o altă structură puternic profesionlizată pentru elaborarea și respectarea standardelor științifice pentru acordarea titlurilor de doctor și a calificativelor pentru tezele de doctorat.</w:t>
      </w:r>
    </w:p>
    <w:p w14:paraId="5A9D4CFE" w14:textId="08BFAEAF" w:rsidR="004C0E0F" w:rsidRPr="004C0E0F" w:rsidRDefault="004C0E0F" w:rsidP="004C0E0F">
      <w:pPr>
        <w:rPr>
          <w:sz w:val="21"/>
          <w:szCs w:val="21"/>
        </w:rPr>
      </w:pPr>
      <w:r w:rsidRPr="004C0E0F">
        <w:rPr>
          <w:sz w:val="21"/>
          <w:szCs w:val="21"/>
        </w:rPr>
        <w:t xml:space="preserve">8. Un pas important în prevenirea fraudelor universitare este reprezentat de reglementarea înființării </w:t>
      </w:r>
      <w:r w:rsidRPr="004C0E0F">
        <w:rPr>
          <w:b/>
          <w:sz w:val="21"/>
          <w:szCs w:val="21"/>
        </w:rPr>
        <w:t>Registrului Unic Național Integrat al Diplomelor și Actelor de Studii  (RUNIDAS)</w:t>
      </w:r>
      <w:r w:rsidRPr="004C0E0F">
        <w:rPr>
          <w:sz w:val="21"/>
          <w:szCs w:val="21"/>
        </w:rPr>
        <w:t xml:space="preserve">, gestionat de Ministerul Educației prin Unitatea Executivă pentru Finanţarea Invăţământului Superior, a Cercetării, Dezvoltării şi Inovării (UEFISCDI). RUNIDAS va gestiona integrat diplomele eliberate de unitățile de învățământ /instituțiile de învățământ superior și registrele matricole de la nivelul unităților de învățământ /instituțiilor de învățământ superior/Academiei Române. </w:t>
      </w:r>
    </w:p>
    <w:p w14:paraId="5F9F946C" w14:textId="77777777" w:rsidR="004C0E0F" w:rsidRPr="004C0E0F" w:rsidRDefault="004C0E0F" w:rsidP="004C0E0F">
      <w:pPr>
        <w:rPr>
          <w:sz w:val="21"/>
          <w:szCs w:val="21"/>
        </w:rPr>
      </w:pPr>
      <w:r w:rsidRPr="004C0E0F">
        <w:rPr>
          <w:sz w:val="21"/>
          <w:szCs w:val="21"/>
        </w:rPr>
        <w:t xml:space="preserve">9. Proiectul noii Legi a învățământului superior consolidează perspectiva eticii prin includerea unor reglementări care definesc și clarifică normele de etică universitară și deontologie profesională, abaterile  de la normele de etică universitară și deontologie profesională, situațiile de tip conflict de interese și procedurile de analiză a sesizărilor privind etica și deontologia profesională. </w:t>
      </w:r>
    </w:p>
    <w:p w14:paraId="080DDF82" w14:textId="77777777" w:rsidR="004C0E0F" w:rsidRPr="004C0E0F" w:rsidRDefault="004C0E0F" w:rsidP="004C0E0F">
      <w:pPr>
        <w:rPr>
          <w:sz w:val="21"/>
          <w:szCs w:val="21"/>
        </w:rPr>
      </w:pPr>
      <w:r w:rsidRPr="004C0E0F">
        <w:rPr>
          <w:sz w:val="21"/>
          <w:szCs w:val="21"/>
        </w:rPr>
        <w:t>10. Tot noul proiect al Legii învățământului superior include, pentru prima dată, obligativitatea introducerii cursurilor de etică universitară în planurile de învățământ ale tuturor programelor de licență.</w:t>
      </w:r>
    </w:p>
    <w:p w14:paraId="174443C3" w14:textId="77777777" w:rsidR="004C0E0F" w:rsidRPr="004C0E0F" w:rsidRDefault="004C0E0F" w:rsidP="004C0E0F">
      <w:pPr>
        <w:rPr>
          <w:sz w:val="21"/>
          <w:szCs w:val="21"/>
        </w:rPr>
      </w:pPr>
      <w:r w:rsidRPr="004C0E0F">
        <w:rPr>
          <w:sz w:val="21"/>
          <w:szCs w:val="21"/>
        </w:rPr>
        <w:t xml:space="preserve">În aceste condiții considerăm evidentă nevoia de coerență, de eficientizare și de profesionalizare a structurilor și mecanismelor care se ocupă de verificarea respectării normelor de etică universitară, un aspect esențial pentru o recredibilizare atât de necesară a universităților românești. </w:t>
      </w:r>
    </w:p>
    <w:p w14:paraId="06C3B6B4" w14:textId="77777777" w:rsidR="00E7665F" w:rsidRDefault="004C0E0F" w:rsidP="00301418">
      <w:pPr>
        <w:rPr>
          <w:sz w:val="21"/>
          <w:szCs w:val="21"/>
        </w:rPr>
      </w:pPr>
      <w:r w:rsidRPr="004C0E0F">
        <w:rPr>
          <w:sz w:val="21"/>
          <w:szCs w:val="21"/>
        </w:rPr>
        <w:lastRenderedPageBreak/>
        <w:t>Odată cu asumarea răspunderii acordării titlului de doctor d</w:t>
      </w:r>
      <w:r w:rsidR="00E7665F">
        <w:rPr>
          <w:sz w:val="21"/>
          <w:szCs w:val="21"/>
        </w:rPr>
        <w:t>e către universități, sintagma „</w:t>
      </w:r>
      <w:r w:rsidRPr="004C0E0F">
        <w:rPr>
          <w:sz w:val="21"/>
          <w:szCs w:val="21"/>
        </w:rPr>
        <w:t xml:space="preserve">Atestare a Titlurilor, Diplomelor și Certificatelor Universitare” devine caducă și impune o reorganizare în spiritul unei puternice profesionalizări a </w:t>
      </w:r>
      <w:r w:rsidRPr="004C0E0F">
        <w:rPr>
          <w:b/>
          <w:sz w:val="21"/>
          <w:szCs w:val="21"/>
        </w:rPr>
        <w:t xml:space="preserve">Comisiei Naționale de Etică a Titlurilor Universitare </w:t>
      </w:r>
      <w:r w:rsidRPr="004C0E0F">
        <w:rPr>
          <w:sz w:val="21"/>
          <w:szCs w:val="21"/>
        </w:rPr>
        <w:t xml:space="preserve">care va trebui să-și concentreze toate resursele pe aspectele de etică universitară. </w:t>
      </w:r>
    </w:p>
    <w:p w14:paraId="7DDDBAF3" w14:textId="29FDC037" w:rsidR="00301418" w:rsidRPr="004C0E0F" w:rsidRDefault="00301418" w:rsidP="00301418">
      <w:pPr>
        <w:rPr>
          <w:sz w:val="21"/>
          <w:szCs w:val="21"/>
        </w:rPr>
      </w:pPr>
      <w:r w:rsidRPr="004C0E0F">
        <w:rPr>
          <w:sz w:val="21"/>
          <w:szCs w:val="21"/>
        </w:rPr>
        <w:t>P</w:t>
      </w:r>
      <w:r w:rsidRPr="004C0E0F">
        <w:rPr>
          <w:rFonts w:eastAsia="Times New Roman" w:cs="Arial"/>
          <w:bCs/>
          <w:color w:val="333333"/>
          <w:sz w:val="21"/>
          <w:szCs w:val="21"/>
          <w:lang w:eastAsia="ro-RO"/>
        </w:rPr>
        <w:t xml:space="preserve">roiectele legilor educației sunt în </w:t>
      </w:r>
      <w:hyperlink r:id="rId7" w:history="1">
        <w:r w:rsidRPr="004C0E0F">
          <w:rPr>
            <w:rStyle w:val="Hyperlink"/>
            <w:rFonts w:eastAsia="Times New Roman" w:cs="Arial"/>
            <w:bCs/>
            <w:sz w:val="21"/>
            <w:szCs w:val="21"/>
            <w:lang w:eastAsia="ro-RO"/>
          </w:rPr>
          <w:t>consultare publică</w:t>
        </w:r>
      </w:hyperlink>
      <w:r w:rsidRPr="004C0E0F">
        <w:rPr>
          <w:rFonts w:eastAsia="Times New Roman" w:cs="Arial"/>
          <w:bCs/>
          <w:color w:val="333333"/>
          <w:sz w:val="21"/>
          <w:szCs w:val="21"/>
          <w:lang w:eastAsia="ro-RO"/>
        </w:rPr>
        <w:t xml:space="preserve"> </w:t>
      </w:r>
      <w:r w:rsidR="004C0E0F" w:rsidRPr="004C0E0F">
        <w:rPr>
          <w:rFonts w:eastAsia="Times New Roman" w:cs="Arial"/>
          <w:bCs/>
          <w:color w:val="333333"/>
          <w:sz w:val="21"/>
          <w:szCs w:val="21"/>
          <w:lang w:eastAsia="ro-RO"/>
        </w:rPr>
        <w:t xml:space="preserve">până în data de 24 august </w:t>
      </w:r>
      <w:r w:rsidRPr="004C0E0F">
        <w:rPr>
          <w:rFonts w:eastAsia="Times New Roman" w:cs="Arial"/>
          <w:bCs/>
          <w:color w:val="333333"/>
          <w:sz w:val="21"/>
          <w:szCs w:val="21"/>
          <w:lang w:eastAsia="ro-RO"/>
        </w:rPr>
        <w:t>și așteptăm orice propuneri care pot genera îmbunătățirea acestora!</w:t>
      </w:r>
    </w:p>
    <w:p w14:paraId="529A77A6" w14:textId="056B04C4" w:rsidR="00301418" w:rsidRPr="004C0E0F" w:rsidRDefault="004C0E0F" w:rsidP="00301418">
      <w:pPr>
        <w:rPr>
          <w:i/>
          <w:color w:val="auto"/>
          <w:sz w:val="21"/>
          <w:szCs w:val="21"/>
        </w:rPr>
      </w:pPr>
      <w:bookmarkStart w:id="0" w:name="_GoBack"/>
      <w:bookmarkEnd w:id="0"/>
      <w:r w:rsidRPr="004C0E0F">
        <w:rPr>
          <w:i/>
          <w:color w:val="auto"/>
          <w:sz w:val="21"/>
          <w:szCs w:val="21"/>
        </w:rPr>
        <w:t>#reorganiza</w:t>
      </w:r>
      <w:r w:rsidRPr="004C0E0F">
        <w:rPr>
          <w:i/>
          <w:color w:val="auto"/>
          <w:sz w:val="21"/>
          <w:szCs w:val="21"/>
        </w:rPr>
        <w:t>reapentruprofesionalizareNUestedesființ</w:t>
      </w:r>
      <w:r w:rsidRPr="004C0E0F">
        <w:rPr>
          <w:i/>
          <w:color w:val="auto"/>
          <w:sz w:val="21"/>
          <w:szCs w:val="21"/>
        </w:rPr>
        <w:t>are!</w:t>
      </w:r>
    </w:p>
    <w:p w14:paraId="65F4A6EC" w14:textId="20086A2B" w:rsidR="000F0A33" w:rsidRPr="002C1530" w:rsidRDefault="002C1530" w:rsidP="008636BC">
      <w:pPr>
        <w:tabs>
          <w:tab w:val="left" w:pos="540"/>
        </w:tabs>
        <w:spacing w:before="100" w:beforeAutospacing="1" w:after="100" w:afterAutospacing="1" w:line="360" w:lineRule="auto"/>
        <w:rPr>
          <w:rFonts w:eastAsia="Times New Roman" w:cs="Arial"/>
          <w:b/>
          <w:bCs/>
          <w:color w:val="333333"/>
          <w:lang w:eastAsia="ro-RO"/>
        </w:rPr>
      </w:pPr>
      <w:r w:rsidRPr="002C1530">
        <w:rPr>
          <w:rFonts w:eastAsia="Times New Roman" w:cs="Arial"/>
          <w:b/>
          <w:bCs/>
          <w:color w:val="333333"/>
          <w:lang w:eastAsia="ro-RO"/>
        </w:rPr>
        <w:t>Sorin Mihai CÎMPEANU,</w:t>
      </w:r>
    </w:p>
    <w:p w14:paraId="7688D3E0" w14:textId="547A5504" w:rsidR="002C1530" w:rsidRPr="002C1530" w:rsidRDefault="002C1530" w:rsidP="008636BC">
      <w:pPr>
        <w:tabs>
          <w:tab w:val="left" w:pos="540"/>
        </w:tabs>
        <w:spacing w:before="100" w:beforeAutospacing="1" w:after="100" w:afterAutospacing="1" w:line="360" w:lineRule="auto"/>
        <w:rPr>
          <w:b/>
        </w:rPr>
      </w:pPr>
      <w:r w:rsidRPr="002C1530">
        <w:rPr>
          <w:rFonts w:eastAsia="Times New Roman" w:cs="Arial"/>
          <w:b/>
          <w:bCs/>
          <w:color w:val="333333"/>
          <w:lang w:eastAsia="ro-RO"/>
        </w:rPr>
        <w:t>Ministrul Educației</w:t>
      </w:r>
    </w:p>
    <w:sectPr w:rsidR="002C1530" w:rsidRPr="002C1530" w:rsidSect="00D36A17">
      <w:headerReference w:type="default" r:id="rId8"/>
      <w:pgSz w:w="11906" w:h="16838" w:code="9"/>
      <w:pgMar w:top="1665" w:right="1274" w:bottom="1134" w:left="1843"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C2F61" w14:textId="77777777" w:rsidR="005A4720" w:rsidRDefault="005A4720" w:rsidP="009772BD">
      <w:r>
        <w:separator/>
      </w:r>
    </w:p>
  </w:endnote>
  <w:endnote w:type="continuationSeparator" w:id="0">
    <w:p w14:paraId="2AB6F356" w14:textId="77777777" w:rsidR="005A4720" w:rsidRDefault="005A472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BFC49" w14:textId="77777777" w:rsidR="005A4720" w:rsidRDefault="005A4720" w:rsidP="009772BD">
      <w:r>
        <w:separator/>
      </w:r>
    </w:p>
  </w:footnote>
  <w:footnote w:type="continuationSeparator" w:id="0">
    <w:p w14:paraId="306297DC" w14:textId="77777777" w:rsidR="005A4720" w:rsidRDefault="005A4720" w:rsidP="0097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440CF" w14:textId="2672A620" w:rsidR="000745D4" w:rsidRDefault="00F222CD" w:rsidP="00E12B61">
    <w:pPr>
      <w:pStyle w:val="Header"/>
      <w:tabs>
        <w:tab w:val="clear" w:pos="4703"/>
        <w:tab w:val="clear" w:pos="9406"/>
        <w:tab w:val="left" w:pos="1988"/>
      </w:tabs>
    </w:pPr>
    <w:r>
      <w:rPr>
        <w:noProof/>
        <w:lang w:eastAsia="ro-RO"/>
      </w:rPr>
      <w:drawing>
        <wp:anchor distT="0" distB="0" distL="114300" distR="114300" simplePos="0" relativeHeight="251658240" behindDoc="1" locked="0" layoutInCell="1" allowOverlap="1" wp14:anchorId="12FB46BF" wp14:editId="701D3478">
          <wp:simplePos x="0" y="0"/>
          <wp:positionH relativeFrom="page">
            <wp:posOffset>360045</wp:posOffset>
          </wp:positionH>
          <wp:positionV relativeFrom="page">
            <wp:posOffset>360045</wp:posOffset>
          </wp:positionV>
          <wp:extent cx="2278635" cy="6480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635"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B61">
      <w:tab/>
    </w:r>
  </w:p>
  <w:p w14:paraId="0797036E" w14:textId="77777777" w:rsidR="00196E22" w:rsidRDefault="00196E22" w:rsidP="009772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70A"/>
    <w:multiLevelType w:val="hybridMultilevel"/>
    <w:tmpl w:val="662633DE"/>
    <w:lvl w:ilvl="0" w:tplc="4D24F610">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82F15A6"/>
    <w:multiLevelType w:val="hybridMultilevel"/>
    <w:tmpl w:val="6D9EE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D964AE"/>
    <w:multiLevelType w:val="hybridMultilevel"/>
    <w:tmpl w:val="A80C8070"/>
    <w:lvl w:ilvl="0" w:tplc="6DC23DA0">
      <w:numFmt w:val="bullet"/>
      <w:lvlText w:val="-"/>
      <w:lvlJc w:val="left"/>
      <w:pPr>
        <w:ind w:left="720" w:hanging="360"/>
      </w:pPr>
      <w:rPr>
        <w:rFonts w:ascii="Trebuchet MS" w:eastAsiaTheme="minorHAnsi" w:hAnsi="Trebuchet MS" w:cs="Open San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2F462F"/>
    <w:multiLevelType w:val="hybridMultilevel"/>
    <w:tmpl w:val="62DE5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5327D3"/>
    <w:multiLevelType w:val="hybridMultilevel"/>
    <w:tmpl w:val="2C6EF6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EA144E"/>
    <w:multiLevelType w:val="hybridMultilevel"/>
    <w:tmpl w:val="6F00D2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FF2206"/>
    <w:multiLevelType w:val="multilevel"/>
    <w:tmpl w:val="FB0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340ED"/>
    <w:multiLevelType w:val="multilevel"/>
    <w:tmpl w:val="FB54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73F0D"/>
    <w:multiLevelType w:val="multilevel"/>
    <w:tmpl w:val="1E5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76A31"/>
    <w:multiLevelType w:val="hybridMultilevel"/>
    <w:tmpl w:val="4E7EB0B4"/>
    <w:lvl w:ilvl="0" w:tplc="79149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85A13"/>
    <w:multiLevelType w:val="hybridMultilevel"/>
    <w:tmpl w:val="4F141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3D38CB"/>
    <w:multiLevelType w:val="hybridMultilevel"/>
    <w:tmpl w:val="043A81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4331E7"/>
    <w:multiLevelType w:val="hybridMultilevel"/>
    <w:tmpl w:val="5E7C42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C8762C"/>
    <w:multiLevelType w:val="multilevel"/>
    <w:tmpl w:val="A87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07B24"/>
    <w:multiLevelType w:val="multilevel"/>
    <w:tmpl w:val="174E823C"/>
    <w:lvl w:ilvl="0">
      <w:start w:val="10"/>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BAE6073"/>
    <w:multiLevelType w:val="multilevel"/>
    <w:tmpl w:val="B0FE7A32"/>
    <w:lvl w:ilvl="0">
      <w:start w:val="32"/>
      <w:numFmt w:val="decimal"/>
      <w:lvlText w:val="%1"/>
      <w:lvlJc w:val="left"/>
      <w:pPr>
        <w:ind w:left="744" w:hanging="744"/>
      </w:pPr>
      <w:rPr>
        <w:rFonts w:cs="Arial" w:hint="default"/>
        <w:b/>
      </w:rPr>
    </w:lvl>
    <w:lvl w:ilvl="1">
      <w:start w:val="100"/>
      <w:numFmt w:val="decimal"/>
      <w:lvlText w:val="%1.%2"/>
      <w:lvlJc w:val="left"/>
      <w:pPr>
        <w:ind w:left="744" w:hanging="744"/>
      </w:pPr>
      <w:rPr>
        <w:rFonts w:cs="Arial" w:hint="default"/>
        <w:b/>
      </w:rPr>
    </w:lvl>
    <w:lvl w:ilvl="2">
      <w:start w:val="1"/>
      <w:numFmt w:val="decimal"/>
      <w:lvlText w:val="%1.%2.%3"/>
      <w:lvlJc w:val="left"/>
      <w:pPr>
        <w:ind w:left="744" w:hanging="744"/>
      </w:pPr>
      <w:rPr>
        <w:rFonts w:cs="Arial" w:hint="default"/>
        <w:b/>
      </w:rPr>
    </w:lvl>
    <w:lvl w:ilvl="3">
      <w:start w:val="1"/>
      <w:numFmt w:val="decimal"/>
      <w:lvlText w:val="%1.%2.%3.%4"/>
      <w:lvlJc w:val="left"/>
      <w:pPr>
        <w:ind w:left="744" w:hanging="744"/>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6" w15:restartNumberingAfterBreak="0">
    <w:nsid w:val="2C80744B"/>
    <w:multiLevelType w:val="hybridMultilevel"/>
    <w:tmpl w:val="8AD23E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D23C21"/>
    <w:multiLevelType w:val="hybridMultilevel"/>
    <w:tmpl w:val="0BEEFA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065AB5"/>
    <w:multiLevelType w:val="hybridMultilevel"/>
    <w:tmpl w:val="14F452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7F32593"/>
    <w:multiLevelType w:val="hybridMultilevel"/>
    <w:tmpl w:val="42C63B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6C323A"/>
    <w:multiLevelType w:val="multilevel"/>
    <w:tmpl w:val="4AB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2775C"/>
    <w:multiLevelType w:val="hybridMultilevel"/>
    <w:tmpl w:val="BC48BB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FF717F"/>
    <w:multiLevelType w:val="hybridMultilevel"/>
    <w:tmpl w:val="698ED4CE"/>
    <w:lvl w:ilvl="0" w:tplc="DE5CEC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7428F0"/>
    <w:multiLevelType w:val="hybridMultilevel"/>
    <w:tmpl w:val="735AB7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451F58"/>
    <w:multiLevelType w:val="hybridMultilevel"/>
    <w:tmpl w:val="6B54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EC57EE7"/>
    <w:multiLevelType w:val="multilevel"/>
    <w:tmpl w:val="95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C4AF7"/>
    <w:multiLevelType w:val="hybridMultilevel"/>
    <w:tmpl w:val="6874A5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824F2"/>
    <w:multiLevelType w:val="hybridMultilevel"/>
    <w:tmpl w:val="18945BF8"/>
    <w:lvl w:ilvl="0" w:tplc="98DCD9C8">
      <w:start w:val="1"/>
      <w:numFmt w:val="decimal"/>
      <w:lvlText w:val="%1."/>
      <w:lvlJc w:val="left"/>
      <w:pPr>
        <w:ind w:left="356" w:hanging="227"/>
      </w:pPr>
      <w:rPr>
        <w:rFonts w:ascii="Times New Roman" w:eastAsia="Times New Roman" w:hAnsi="Times New Roman" w:hint="default"/>
        <w:color w:val="565652"/>
        <w:w w:val="108"/>
        <w:sz w:val="25"/>
        <w:szCs w:val="25"/>
      </w:rPr>
    </w:lvl>
    <w:lvl w:ilvl="1" w:tplc="52726D5C">
      <w:start w:val="1"/>
      <w:numFmt w:val="bullet"/>
      <w:lvlText w:val="•"/>
      <w:lvlJc w:val="left"/>
      <w:pPr>
        <w:ind w:left="1354" w:hanging="227"/>
      </w:pPr>
      <w:rPr>
        <w:rFonts w:hint="default"/>
      </w:rPr>
    </w:lvl>
    <w:lvl w:ilvl="2" w:tplc="DE805346">
      <w:start w:val="1"/>
      <w:numFmt w:val="bullet"/>
      <w:lvlText w:val="•"/>
      <w:lvlJc w:val="left"/>
      <w:pPr>
        <w:ind w:left="2353" w:hanging="227"/>
      </w:pPr>
      <w:rPr>
        <w:rFonts w:hint="default"/>
      </w:rPr>
    </w:lvl>
    <w:lvl w:ilvl="3" w:tplc="1CBCC170">
      <w:start w:val="1"/>
      <w:numFmt w:val="bullet"/>
      <w:lvlText w:val="•"/>
      <w:lvlJc w:val="left"/>
      <w:pPr>
        <w:ind w:left="3352" w:hanging="227"/>
      </w:pPr>
      <w:rPr>
        <w:rFonts w:hint="default"/>
      </w:rPr>
    </w:lvl>
    <w:lvl w:ilvl="4" w:tplc="98DC9F52">
      <w:start w:val="1"/>
      <w:numFmt w:val="bullet"/>
      <w:lvlText w:val="•"/>
      <w:lvlJc w:val="left"/>
      <w:pPr>
        <w:ind w:left="4351" w:hanging="227"/>
      </w:pPr>
      <w:rPr>
        <w:rFonts w:hint="default"/>
      </w:rPr>
    </w:lvl>
    <w:lvl w:ilvl="5" w:tplc="853CE84C">
      <w:start w:val="1"/>
      <w:numFmt w:val="bullet"/>
      <w:lvlText w:val="•"/>
      <w:lvlJc w:val="left"/>
      <w:pPr>
        <w:ind w:left="5350" w:hanging="227"/>
      </w:pPr>
      <w:rPr>
        <w:rFonts w:hint="default"/>
      </w:rPr>
    </w:lvl>
    <w:lvl w:ilvl="6" w:tplc="2C7A9E48">
      <w:start w:val="1"/>
      <w:numFmt w:val="bullet"/>
      <w:lvlText w:val="•"/>
      <w:lvlJc w:val="left"/>
      <w:pPr>
        <w:ind w:left="6349" w:hanging="227"/>
      </w:pPr>
      <w:rPr>
        <w:rFonts w:hint="default"/>
      </w:rPr>
    </w:lvl>
    <w:lvl w:ilvl="7" w:tplc="DBB8D6AC">
      <w:start w:val="1"/>
      <w:numFmt w:val="bullet"/>
      <w:lvlText w:val="•"/>
      <w:lvlJc w:val="left"/>
      <w:pPr>
        <w:ind w:left="7348" w:hanging="227"/>
      </w:pPr>
      <w:rPr>
        <w:rFonts w:hint="default"/>
      </w:rPr>
    </w:lvl>
    <w:lvl w:ilvl="8" w:tplc="0AF22A3C">
      <w:start w:val="1"/>
      <w:numFmt w:val="bullet"/>
      <w:lvlText w:val="•"/>
      <w:lvlJc w:val="left"/>
      <w:pPr>
        <w:ind w:left="8347" w:hanging="227"/>
      </w:pPr>
      <w:rPr>
        <w:rFonts w:hint="default"/>
      </w:rPr>
    </w:lvl>
  </w:abstractNum>
  <w:num w:numId="1">
    <w:abstractNumId w:val="24"/>
  </w:num>
  <w:num w:numId="2">
    <w:abstractNumId w:val="13"/>
  </w:num>
  <w:num w:numId="3">
    <w:abstractNumId w:val="20"/>
  </w:num>
  <w:num w:numId="4">
    <w:abstractNumId w:val="19"/>
  </w:num>
  <w:num w:numId="5">
    <w:abstractNumId w:val="23"/>
  </w:num>
  <w:num w:numId="6">
    <w:abstractNumId w:val="3"/>
  </w:num>
  <w:num w:numId="7">
    <w:abstractNumId w:val="8"/>
  </w:num>
  <w:num w:numId="8">
    <w:abstractNumId w:val="26"/>
  </w:num>
  <w:num w:numId="9">
    <w:abstractNumId w:val="22"/>
  </w:num>
  <w:num w:numId="10">
    <w:abstractNumId w:val="21"/>
  </w:num>
  <w:num w:numId="11">
    <w:abstractNumId w:val="4"/>
  </w:num>
  <w:num w:numId="12">
    <w:abstractNumId w:val="11"/>
  </w:num>
  <w:num w:numId="13">
    <w:abstractNumId w:val="25"/>
  </w:num>
  <w:num w:numId="14">
    <w:abstractNumId w:val="15"/>
  </w:num>
  <w:num w:numId="15">
    <w:abstractNumId w:val="1"/>
  </w:num>
  <w:num w:numId="16">
    <w:abstractNumId w:val="9"/>
  </w:num>
  <w:num w:numId="17">
    <w:abstractNumId w:val="27"/>
  </w:num>
  <w:num w:numId="18">
    <w:abstractNumId w:val="14"/>
  </w:num>
  <w:num w:numId="19">
    <w:abstractNumId w:val="12"/>
  </w:num>
  <w:num w:numId="20">
    <w:abstractNumId w:val="6"/>
  </w:num>
  <w:num w:numId="21">
    <w:abstractNumId w:val="17"/>
  </w:num>
  <w:num w:numId="22">
    <w:abstractNumId w:val="16"/>
  </w:num>
  <w:num w:numId="23">
    <w:abstractNumId w:val="18"/>
  </w:num>
  <w:num w:numId="24">
    <w:abstractNumId w:val="2"/>
  </w:num>
  <w:num w:numId="25">
    <w:abstractNumId w:val="0"/>
  </w:num>
  <w:num w:numId="26">
    <w:abstractNumId w:val="0"/>
  </w:num>
  <w:num w:numId="27">
    <w:abstractNumId w:val="10"/>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34E55"/>
    <w:rsid w:val="00052030"/>
    <w:rsid w:val="000745D4"/>
    <w:rsid w:val="00075C46"/>
    <w:rsid w:val="00076AD4"/>
    <w:rsid w:val="000806AC"/>
    <w:rsid w:val="000820F5"/>
    <w:rsid w:val="000A4B3E"/>
    <w:rsid w:val="000A6C39"/>
    <w:rsid w:val="000B172B"/>
    <w:rsid w:val="000B5B73"/>
    <w:rsid w:val="000C31A9"/>
    <w:rsid w:val="000E2E2A"/>
    <w:rsid w:val="000F0A33"/>
    <w:rsid w:val="000F6CC5"/>
    <w:rsid w:val="00105353"/>
    <w:rsid w:val="00112C6C"/>
    <w:rsid w:val="00115A5D"/>
    <w:rsid w:val="00116B27"/>
    <w:rsid w:val="001213AB"/>
    <w:rsid w:val="00135453"/>
    <w:rsid w:val="00144B35"/>
    <w:rsid w:val="001466DC"/>
    <w:rsid w:val="0015545B"/>
    <w:rsid w:val="00161D44"/>
    <w:rsid w:val="00162D6E"/>
    <w:rsid w:val="00165BAA"/>
    <w:rsid w:val="00181D59"/>
    <w:rsid w:val="00187207"/>
    <w:rsid w:val="00196E22"/>
    <w:rsid w:val="001973F9"/>
    <w:rsid w:val="001A1A49"/>
    <w:rsid w:val="001A388E"/>
    <w:rsid w:val="001A6D3E"/>
    <w:rsid w:val="001B2759"/>
    <w:rsid w:val="001C16E8"/>
    <w:rsid w:val="001C7DC7"/>
    <w:rsid w:val="001D1D01"/>
    <w:rsid w:val="001D7686"/>
    <w:rsid w:val="001E04C6"/>
    <w:rsid w:val="001F0337"/>
    <w:rsid w:val="001F2DD5"/>
    <w:rsid w:val="001F4C79"/>
    <w:rsid w:val="001F5BF0"/>
    <w:rsid w:val="00212935"/>
    <w:rsid w:val="00216440"/>
    <w:rsid w:val="0022054E"/>
    <w:rsid w:val="002328DD"/>
    <w:rsid w:val="00235538"/>
    <w:rsid w:val="00252480"/>
    <w:rsid w:val="00252C8C"/>
    <w:rsid w:val="00274D0A"/>
    <w:rsid w:val="00282E54"/>
    <w:rsid w:val="00294332"/>
    <w:rsid w:val="002958EC"/>
    <w:rsid w:val="002A543D"/>
    <w:rsid w:val="002A6510"/>
    <w:rsid w:val="002B0D7A"/>
    <w:rsid w:val="002B6383"/>
    <w:rsid w:val="002B70D2"/>
    <w:rsid w:val="002C1530"/>
    <w:rsid w:val="002C2A02"/>
    <w:rsid w:val="002C4DA8"/>
    <w:rsid w:val="002E2666"/>
    <w:rsid w:val="002E2E33"/>
    <w:rsid w:val="002E34BB"/>
    <w:rsid w:val="002E3A24"/>
    <w:rsid w:val="00301418"/>
    <w:rsid w:val="003114A9"/>
    <w:rsid w:val="00311BF2"/>
    <w:rsid w:val="00322526"/>
    <w:rsid w:val="0032278D"/>
    <w:rsid w:val="0032580C"/>
    <w:rsid w:val="003259B2"/>
    <w:rsid w:val="00332666"/>
    <w:rsid w:val="00336AAE"/>
    <w:rsid w:val="00341267"/>
    <w:rsid w:val="00344900"/>
    <w:rsid w:val="003467EA"/>
    <w:rsid w:val="00360CF7"/>
    <w:rsid w:val="00361814"/>
    <w:rsid w:val="00371511"/>
    <w:rsid w:val="003803C8"/>
    <w:rsid w:val="00381922"/>
    <w:rsid w:val="00395528"/>
    <w:rsid w:val="003A5AEC"/>
    <w:rsid w:val="003D35AB"/>
    <w:rsid w:val="003F005E"/>
    <w:rsid w:val="003F048D"/>
    <w:rsid w:val="003F2047"/>
    <w:rsid w:val="003F6C46"/>
    <w:rsid w:val="00403EFD"/>
    <w:rsid w:val="0040453A"/>
    <w:rsid w:val="00407F8C"/>
    <w:rsid w:val="00413BCD"/>
    <w:rsid w:val="00416729"/>
    <w:rsid w:val="00425FA6"/>
    <w:rsid w:val="004440B6"/>
    <w:rsid w:val="004451FB"/>
    <w:rsid w:val="0045008C"/>
    <w:rsid w:val="004527B5"/>
    <w:rsid w:val="004631E4"/>
    <w:rsid w:val="00465150"/>
    <w:rsid w:val="00492E88"/>
    <w:rsid w:val="004949FE"/>
    <w:rsid w:val="004C0E0F"/>
    <w:rsid w:val="004C7FE5"/>
    <w:rsid w:val="004E1E69"/>
    <w:rsid w:val="004F1544"/>
    <w:rsid w:val="005011D6"/>
    <w:rsid w:val="00506379"/>
    <w:rsid w:val="005071B5"/>
    <w:rsid w:val="00510BF8"/>
    <w:rsid w:val="00513AED"/>
    <w:rsid w:val="00515280"/>
    <w:rsid w:val="005221E8"/>
    <w:rsid w:val="00522E71"/>
    <w:rsid w:val="00523FF2"/>
    <w:rsid w:val="00533D7D"/>
    <w:rsid w:val="00546FE2"/>
    <w:rsid w:val="0057286D"/>
    <w:rsid w:val="00576D8D"/>
    <w:rsid w:val="00583D7C"/>
    <w:rsid w:val="00586CD3"/>
    <w:rsid w:val="005A4720"/>
    <w:rsid w:val="005B15DF"/>
    <w:rsid w:val="005B3BB7"/>
    <w:rsid w:val="005D65D5"/>
    <w:rsid w:val="005F7F07"/>
    <w:rsid w:val="006233C2"/>
    <w:rsid w:val="00624051"/>
    <w:rsid w:val="0062677A"/>
    <w:rsid w:val="006436A0"/>
    <w:rsid w:val="006454A3"/>
    <w:rsid w:val="0065586B"/>
    <w:rsid w:val="006577D5"/>
    <w:rsid w:val="00665AF2"/>
    <w:rsid w:val="00684472"/>
    <w:rsid w:val="00684D1E"/>
    <w:rsid w:val="00684E39"/>
    <w:rsid w:val="006A792E"/>
    <w:rsid w:val="006B139A"/>
    <w:rsid w:val="006B1F98"/>
    <w:rsid w:val="006B3647"/>
    <w:rsid w:val="006D26B7"/>
    <w:rsid w:val="006D7D45"/>
    <w:rsid w:val="006E3760"/>
    <w:rsid w:val="006F473B"/>
    <w:rsid w:val="006F6A73"/>
    <w:rsid w:val="00720AF6"/>
    <w:rsid w:val="00721D7A"/>
    <w:rsid w:val="00726965"/>
    <w:rsid w:val="007337FD"/>
    <w:rsid w:val="00733BD4"/>
    <w:rsid w:val="00733D52"/>
    <w:rsid w:val="00745593"/>
    <w:rsid w:val="00746FBD"/>
    <w:rsid w:val="00757C19"/>
    <w:rsid w:val="00760C1E"/>
    <w:rsid w:val="00760DD3"/>
    <w:rsid w:val="00762436"/>
    <w:rsid w:val="007644EB"/>
    <w:rsid w:val="00767502"/>
    <w:rsid w:val="00771B32"/>
    <w:rsid w:val="00771DEE"/>
    <w:rsid w:val="00774A24"/>
    <w:rsid w:val="00780D2E"/>
    <w:rsid w:val="00787136"/>
    <w:rsid w:val="00795B4E"/>
    <w:rsid w:val="007A375B"/>
    <w:rsid w:val="007A6363"/>
    <w:rsid w:val="007B22BA"/>
    <w:rsid w:val="007B55DB"/>
    <w:rsid w:val="007B5AD0"/>
    <w:rsid w:val="007B6062"/>
    <w:rsid w:val="007C0ACA"/>
    <w:rsid w:val="007C6723"/>
    <w:rsid w:val="007C748C"/>
    <w:rsid w:val="007D286F"/>
    <w:rsid w:val="007D444D"/>
    <w:rsid w:val="007D60B6"/>
    <w:rsid w:val="007E0E64"/>
    <w:rsid w:val="007E3194"/>
    <w:rsid w:val="007E38D8"/>
    <w:rsid w:val="00801C4F"/>
    <w:rsid w:val="00804AD0"/>
    <w:rsid w:val="008217D7"/>
    <w:rsid w:val="00825E4E"/>
    <w:rsid w:val="00840A24"/>
    <w:rsid w:val="00840B91"/>
    <w:rsid w:val="008629F2"/>
    <w:rsid w:val="008636BC"/>
    <w:rsid w:val="0087586A"/>
    <w:rsid w:val="0087708E"/>
    <w:rsid w:val="00896683"/>
    <w:rsid w:val="008A3350"/>
    <w:rsid w:val="008A7565"/>
    <w:rsid w:val="008C5C89"/>
    <w:rsid w:val="008D1AB6"/>
    <w:rsid w:val="008D26A6"/>
    <w:rsid w:val="008D629B"/>
    <w:rsid w:val="008E698D"/>
    <w:rsid w:val="008F5776"/>
    <w:rsid w:val="00900884"/>
    <w:rsid w:val="00912722"/>
    <w:rsid w:val="0093415D"/>
    <w:rsid w:val="009430B8"/>
    <w:rsid w:val="009537D3"/>
    <w:rsid w:val="009608F4"/>
    <w:rsid w:val="0096667A"/>
    <w:rsid w:val="009772BD"/>
    <w:rsid w:val="009778F6"/>
    <w:rsid w:val="009911A9"/>
    <w:rsid w:val="0099391B"/>
    <w:rsid w:val="009B50E5"/>
    <w:rsid w:val="009C648F"/>
    <w:rsid w:val="009C7023"/>
    <w:rsid w:val="009C7956"/>
    <w:rsid w:val="009D3507"/>
    <w:rsid w:val="009E5841"/>
    <w:rsid w:val="009E587F"/>
    <w:rsid w:val="009F367F"/>
    <w:rsid w:val="00A052E0"/>
    <w:rsid w:val="00A0560D"/>
    <w:rsid w:val="00A06609"/>
    <w:rsid w:val="00A126BC"/>
    <w:rsid w:val="00A239D5"/>
    <w:rsid w:val="00A25E1C"/>
    <w:rsid w:val="00A3618F"/>
    <w:rsid w:val="00A40276"/>
    <w:rsid w:val="00A47D55"/>
    <w:rsid w:val="00A5271E"/>
    <w:rsid w:val="00A9227E"/>
    <w:rsid w:val="00AA003D"/>
    <w:rsid w:val="00AA0C0C"/>
    <w:rsid w:val="00AA0FB3"/>
    <w:rsid w:val="00AA2A59"/>
    <w:rsid w:val="00AA6A06"/>
    <w:rsid w:val="00AB2848"/>
    <w:rsid w:val="00AC2C91"/>
    <w:rsid w:val="00AD2166"/>
    <w:rsid w:val="00AD34E2"/>
    <w:rsid w:val="00AE41A1"/>
    <w:rsid w:val="00AE53E6"/>
    <w:rsid w:val="00AF4841"/>
    <w:rsid w:val="00B06A2F"/>
    <w:rsid w:val="00B1402F"/>
    <w:rsid w:val="00B15998"/>
    <w:rsid w:val="00B21DC9"/>
    <w:rsid w:val="00B463E3"/>
    <w:rsid w:val="00B5323A"/>
    <w:rsid w:val="00B61448"/>
    <w:rsid w:val="00B66B35"/>
    <w:rsid w:val="00B7123F"/>
    <w:rsid w:val="00B73630"/>
    <w:rsid w:val="00B82F26"/>
    <w:rsid w:val="00B94E88"/>
    <w:rsid w:val="00B9751E"/>
    <w:rsid w:val="00BA064A"/>
    <w:rsid w:val="00BA0DAD"/>
    <w:rsid w:val="00BB191E"/>
    <w:rsid w:val="00BB4A1F"/>
    <w:rsid w:val="00BB669C"/>
    <w:rsid w:val="00BB67A4"/>
    <w:rsid w:val="00BD2860"/>
    <w:rsid w:val="00BD3439"/>
    <w:rsid w:val="00BE08F6"/>
    <w:rsid w:val="00BE258E"/>
    <w:rsid w:val="00BF3038"/>
    <w:rsid w:val="00BF6579"/>
    <w:rsid w:val="00C02ED3"/>
    <w:rsid w:val="00C1764C"/>
    <w:rsid w:val="00C221F4"/>
    <w:rsid w:val="00C27E70"/>
    <w:rsid w:val="00C30FE1"/>
    <w:rsid w:val="00C44817"/>
    <w:rsid w:val="00C47C48"/>
    <w:rsid w:val="00C47C53"/>
    <w:rsid w:val="00C51826"/>
    <w:rsid w:val="00C63645"/>
    <w:rsid w:val="00C736FD"/>
    <w:rsid w:val="00C87BCE"/>
    <w:rsid w:val="00C92851"/>
    <w:rsid w:val="00CA2E55"/>
    <w:rsid w:val="00CB1345"/>
    <w:rsid w:val="00CB5079"/>
    <w:rsid w:val="00CB7ABB"/>
    <w:rsid w:val="00CC0F50"/>
    <w:rsid w:val="00CC445B"/>
    <w:rsid w:val="00CD1555"/>
    <w:rsid w:val="00CD4274"/>
    <w:rsid w:val="00CD53D4"/>
    <w:rsid w:val="00CD66C0"/>
    <w:rsid w:val="00CD75C6"/>
    <w:rsid w:val="00CD7606"/>
    <w:rsid w:val="00CE3E6D"/>
    <w:rsid w:val="00CF20D5"/>
    <w:rsid w:val="00CF67A2"/>
    <w:rsid w:val="00CF6965"/>
    <w:rsid w:val="00D164D7"/>
    <w:rsid w:val="00D1764B"/>
    <w:rsid w:val="00D26F45"/>
    <w:rsid w:val="00D31000"/>
    <w:rsid w:val="00D36A17"/>
    <w:rsid w:val="00D3733F"/>
    <w:rsid w:val="00D43191"/>
    <w:rsid w:val="00D5105C"/>
    <w:rsid w:val="00D5709B"/>
    <w:rsid w:val="00D6045B"/>
    <w:rsid w:val="00D840D3"/>
    <w:rsid w:val="00DA2A55"/>
    <w:rsid w:val="00DA65E7"/>
    <w:rsid w:val="00DA7258"/>
    <w:rsid w:val="00DB58C2"/>
    <w:rsid w:val="00DD5DB7"/>
    <w:rsid w:val="00DE0A41"/>
    <w:rsid w:val="00DE0F61"/>
    <w:rsid w:val="00DE5A9C"/>
    <w:rsid w:val="00DF7A8B"/>
    <w:rsid w:val="00E04C0D"/>
    <w:rsid w:val="00E11617"/>
    <w:rsid w:val="00E12B61"/>
    <w:rsid w:val="00E14287"/>
    <w:rsid w:val="00E32C99"/>
    <w:rsid w:val="00E41EF1"/>
    <w:rsid w:val="00E54083"/>
    <w:rsid w:val="00E65515"/>
    <w:rsid w:val="00E65D5C"/>
    <w:rsid w:val="00E76187"/>
    <w:rsid w:val="00E7665F"/>
    <w:rsid w:val="00EB3D17"/>
    <w:rsid w:val="00EB5DA1"/>
    <w:rsid w:val="00EC0305"/>
    <w:rsid w:val="00EC03B8"/>
    <w:rsid w:val="00EC299F"/>
    <w:rsid w:val="00EE067F"/>
    <w:rsid w:val="00EE0BC7"/>
    <w:rsid w:val="00EE6877"/>
    <w:rsid w:val="00F03B9A"/>
    <w:rsid w:val="00F0446E"/>
    <w:rsid w:val="00F07452"/>
    <w:rsid w:val="00F13E43"/>
    <w:rsid w:val="00F20A72"/>
    <w:rsid w:val="00F220AA"/>
    <w:rsid w:val="00F222CD"/>
    <w:rsid w:val="00F376C1"/>
    <w:rsid w:val="00F379C8"/>
    <w:rsid w:val="00F4709A"/>
    <w:rsid w:val="00F47CCA"/>
    <w:rsid w:val="00F518B2"/>
    <w:rsid w:val="00F51D2B"/>
    <w:rsid w:val="00F60C5D"/>
    <w:rsid w:val="00F61787"/>
    <w:rsid w:val="00F72110"/>
    <w:rsid w:val="00F77A10"/>
    <w:rsid w:val="00F814F6"/>
    <w:rsid w:val="00F83302"/>
    <w:rsid w:val="00F938AE"/>
    <w:rsid w:val="00FA66CF"/>
    <w:rsid w:val="00FB3C4F"/>
    <w:rsid w:val="00FC0749"/>
    <w:rsid w:val="00FD15E5"/>
    <w:rsid w:val="00FD6D1C"/>
    <w:rsid w:val="00FE0C3B"/>
    <w:rsid w:val="00FF004E"/>
    <w:rsid w:val="00FF05FD"/>
    <w:rsid w:val="00FF1813"/>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29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Strong">
    <w:name w:val="Strong"/>
    <w:basedOn w:val="DefaultParagraphFont"/>
    <w:uiPriority w:val="22"/>
    <w:qFormat/>
    <w:rsid w:val="00413BCD"/>
    <w:rPr>
      <w:b/>
      <w:bCs/>
    </w:rPr>
  </w:style>
  <w:style w:type="character" w:customStyle="1" w:styleId="Heading1Char">
    <w:name w:val="Heading 1 Char"/>
    <w:basedOn w:val="DefaultParagraphFont"/>
    <w:link w:val="Heading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D36A17"/>
    <w:pPr>
      <w:spacing w:before="0" w:after="160" w:line="259" w:lineRule="auto"/>
      <w:ind w:left="720"/>
      <w:contextualSpacing/>
      <w:jc w:val="left"/>
    </w:pPr>
    <w:rPr>
      <w:rFonts w:asciiTheme="minorHAnsi" w:hAnsiTheme="minorHAnsi" w:cstheme="minorBidi"/>
      <w:color w:val="auto"/>
    </w:rPr>
  </w:style>
  <w:style w:type="character" w:styleId="Hyperlink">
    <w:name w:val="Hyperlink"/>
    <w:basedOn w:val="DefaultParagraphFont"/>
    <w:uiPriority w:val="99"/>
    <w:unhideWhenUsed/>
    <w:rsid w:val="00D36A17"/>
    <w:rPr>
      <w:color w:val="0563C1" w:themeColor="hyperlink"/>
      <w:u w:val="single"/>
    </w:rPr>
  </w:style>
  <w:style w:type="paragraph" w:styleId="BalloonText">
    <w:name w:val="Balloon Text"/>
    <w:basedOn w:val="Normal"/>
    <w:link w:val="BalloonTextChar"/>
    <w:uiPriority w:val="99"/>
    <w:semiHidden/>
    <w:unhideWhenUsed/>
    <w:rsid w:val="00B614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48"/>
    <w:rPr>
      <w:rFonts w:ascii="Segoe UI" w:hAnsi="Segoe UI" w:cs="Segoe UI"/>
      <w:color w:val="000000"/>
      <w:sz w:val="18"/>
      <w:szCs w:val="18"/>
      <w:lang w:val="ro-RO"/>
    </w:rPr>
  </w:style>
  <w:style w:type="character" w:styleId="Emphasis">
    <w:name w:val="Emphasis"/>
    <w:basedOn w:val="DefaultParagraphFont"/>
    <w:uiPriority w:val="20"/>
    <w:qFormat/>
    <w:rsid w:val="00B82F26"/>
    <w:rPr>
      <w:i/>
      <w:iCs/>
    </w:rPr>
  </w:style>
  <w:style w:type="paragraph" w:styleId="BodyText">
    <w:name w:val="Body Text"/>
    <w:basedOn w:val="Normal"/>
    <w:link w:val="BodyTextChar"/>
    <w:uiPriority w:val="1"/>
    <w:qFormat/>
    <w:rsid w:val="00D5709B"/>
    <w:pPr>
      <w:widowControl w:val="0"/>
      <w:autoSpaceDE w:val="0"/>
      <w:autoSpaceDN w:val="0"/>
      <w:adjustRightInd w:val="0"/>
      <w:spacing w:before="0" w:after="0" w:line="240" w:lineRule="auto"/>
      <w:ind w:left="1383"/>
    </w:pPr>
    <w:rPr>
      <w:rFonts w:eastAsiaTheme="minorEastAsia" w:cs="Trebuchet MS"/>
      <w:color w:val="auto"/>
      <w:sz w:val="24"/>
      <w:szCs w:val="24"/>
      <w:lang w:val="en-GB" w:eastAsia="en-GB"/>
    </w:rPr>
  </w:style>
  <w:style w:type="character" w:customStyle="1" w:styleId="BodyTextChar">
    <w:name w:val="Body Text Char"/>
    <w:basedOn w:val="DefaultParagraphFont"/>
    <w:link w:val="BodyText"/>
    <w:uiPriority w:val="1"/>
    <w:rsid w:val="00D5709B"/>
    <w:rPr>
      <w:rFonts w:ascii="Trebuchet MS" w:eastAsiaTheme="minorEastAsia" w:hAnsi="Trebuchet MS" w:cs="Trebuchet MS"/>
      <w:sz w:val="24"/>
      <w:szCs w:val="24"/>
      <w:lang w:val="en-GB" w:eastAsia="en-GB"/>
    </w:rPr>
  </w:style>
  <w:style w:type="paragraph" w:styleId="NoSpacing">
    <w:name w:val="No Spacing"/>
    <w:uiPriority w:val="1"/>
    <w:qFormat/>
    <w:rsid w:val="001213AB"/>
    <w:pPr>
      <w:spacing w:after="0" w:line="240" w:lineRule="auto"/>
      <w:jc w:val="both"/>
    </w:pPr>
    <w:rPr>
      <w:rFonts w:ascii="Trebuchet MS" w:hAnsi="Trebuchet MS" w:cs="Open Sans"/>
      <w:color w:val="000000"/>
      <w:lang w:val="ro-RO"/>
    </w:rPr>
  </w:style>
  <w:style w:type="paragraph" w:styleId="IntenseQuote">
    <w:name w:val="Intense Quote"/>
    <w:basedOn w:val="Normal"/>
    <w:next w:val="Normal"/>
    <w:link w:val="IntenseQuoteChar"/>
    <w:uiPriority w:val="30"/>
    <w:qFormat/>
    <w:rsid w:val="004C0E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C0E0F"/>
    <w:rPr>
      <w:rFonts w:ascii="Trebuchet MS" w:hAnsi="Trebuchet MS" w:cs="Open Sans"/>
      <w:i/>
      <w:iCs/>
      <w:color w:val="5B9BD5" w:themeColor="accent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419">
      <w:bodyDiv w:val="1"/>
      <w:marLeft w:val="0"/>
      <w:marRight w:val="0"/>
      <w:marTop w:val="0"/>
      <w:marBottom w:val="0"/>
      <w:divBdr>
        <w:top w:val="none" w:sz="0" w:space="0" w:color="auto"/>
        <w:left w:val="none" w:sz="0" w:space="0" w:color="auto"/>
        <w:bottom w:val="none" w:sz="0" w:space="0" w:color="auto"/>
        <w:right w:val="none" w:sz="0" w:space="0" w:color="auto"/>
      </w:divBdr>
    </w:div>
    <w:div w:id="194467349">
      <w:bodyDiv w:val="1"/>
      <w:marLeft w:val="0"/>
      <w:marRight w:val="0"/>
      <w:marTop w:val="0"/>
      <w:marBottom w:val="0"/>
      <w:divBdr>
        <w:top w:val="none" w:sz="0" w:space="0" w:color="auto"/>
        <w:left w:val="none" w:sz="0" w:space="0" w:color="auto"/>
        <w:bottom w:val="none" w:sz="0" w:space="0" w:color="auto"/>
        <w:right w:val="none" w:sz="0" w:space="0" w:color="auto"/>
      </w:divBdr>
    </w:div>
    <w:div w:id="238641272">
      <w:bodyDiv w:val="1"/>
      <w:marLeft w:val="0"/>
      <w:marRight w:val="0"/>
      <w:marTop w:val="0"/>
      <w:marBottom w:val="0"/>
      <w:divBdr>
        <w:top w:val="none" w:sz="0" w:space="0" w:color="auto"/>
        <w:left w:val="none" w:sz="0" w:space="0" w:color="auto"/>
        <w:bottom w:val="none" w:sz="0" w:space="0" w:color="auto"/>
        <w:right w:val="none" w:sz="0" w:space="0" w:color="auto"/>
      </w:divBdr>
    </w:div>
    <w:div w:id="389764269">
      <w:bodyDiv w:val="1"/>
      <w:marLeft w:val="0"/>
      <w:marRight w:val="0"/>
      <w:marTop w:val="0"/>
      <w:marBottom w:val="0"/>
      <w:divBdr>
        <w:top w:val="none" w:sz="0" w:space="0" w:color="auto"/>
        <w:left w:val="none" w:sz="0" w:space="0" w:color="auto"/>
        <w:bottom w:val="none" w:sz="0" w:space="0" w:color="auto"/>
        <w:right w:val="none" w:sz="0" w:space="0" w:color="auto"/>
      </w:divBdr>
    </w:div>
    <w:div w:id="432357398">
      <w:bodyDiv w:val="1"/>
      <w:marLeft w:val="0"/>
      <w:marRight w:val="0"/>
      <w:marTop w:val="0"/>
      <w:marBottom w:val="0"/>
      <w:divBdr>
        <w:top w:val="none" w:sz="0" w:space="0" w:color="auto"/>
        <w:left w:val="none" w:sz="0" w:space="0" w:color="auto"/>
        <w:bottom w:val="none" w:sz="0" w:space="0" w:color="auto"/>
        <w:right w:val="none" w:sz="0" w:space="0" w:color="auto"/>
      </w:divBdr>
    </w:div>
    <w:div w:id="568033062">
      <w:bodyDiv w:val="1"/>
      <w:marLeft w:val="0"/>
      <w:marRight w:val="0"/>
      <w:marTop w:val="0"/>
      <w:marBottom w:val="0"/>
      <w:divBdr>
        <w:top w:val="none" w:sz="0" w:space="0" w:color="auto"/>
        <w:left w:val="none" w:sz="0" w:space="0" w:color="auto"/>
        <w:bottom w:val="none" w:sz="0" w:space="0" w:color="auto"/>
        <w:right w:val="none" w:sz="0" w:space="0" w:color="auto"/>
      </w:divBdr>
    </w:div>
    <w:div w:id="753283053">
      <w:bodyDiv w:val="1"/>
      <w:marLeft w:val="0"/>
      <w:marRight w:val="0"/>
      <w:marTop w:val="0"/>
      <w:marBottom w:val="0"/>
      <w:divBdr>
        <w:top w:val="none" w:sz="0" w:space="0" w:color="auto"/>
        <w:left w:val="none" w:sz="0" w:space="0" w:color="auto"/>
        <w:bottom w:val="none" w:sz="0" w:space="0" w:color="auto"/>
        <w:right w:val="none" w:sz="0" w:space="0" w:color="auto"/>
      </w:divBdr>
    </w:div>
    <w:div w:id="783310882">
      <w:bodyDiv w:val="1"/>
      <w:marLeft w:val="0"/>
      <w:marRight w:val="0"/>
      <w:marTop w:val="0"/>
      <w:marBottom w:val="0"/>
      <w:divBdr>
        <w:top w:val="none" w:sz="0" w:space="0" w:color="auto"/>
        <w:left w:val="none" w:sz="0" w:space="0" w:color="auto"/>
        <w:bottom w:val="none" w:sz="0" w:space="0" w:color="auto"/>
        <w:right w:val="none" w:sz="0" w:space="0" w:color="auto"/>
      </w:divBdr>
    </w:div>
    <w:div w:id="868297937">
      <w:bodyDiv w:val="1"/>
      <w:marLeft w:val="0"/>
      <w:marRight w:val="0"/>
      <w:marTop w:val="0"/>
      <w:marBottom w:val="0"/>
      <w:divBdr>
        <w:top w:val="none" w:sz="0" w:space="0" w:color="auto"/>
        <w:left w:val="none" w:sz="0" w:space="0" w:color="auto"/>
        <w:bottom w:val="none" w:sz="0" w:space="0" w:color="auto"/>
        <w:right w:val="none" w:sz="0" w:space="0" w:color="auto"/>
      </w:divBdr>
    </w:div>
    <w:div w:id="885214228">
      <w:bodyDiv w:val="1"/>
      <w:marLeft w:val="0"/>
      <w:marRight w:val="0"/>
      <w:marTop w:val="0"/>
      <w:marBottom w:val="0"/>
      <w:divBdr>
        <w:top w:val="none" w:sz="0" w:space="0" w:color="auto"/>
        <w:left w:val="none" w:sz="0" w:space="0" w:color="auto"/>
        <w:bottom w:val="none" w:sz="0" w:space="0" w:color="auto"/>
        <w:right w:val="none" w:sz="0" w:space="0" w:color="auto"/>
      </w:divBdr>
    </w:div>
    <w:div w:id="989555062">
      <w:bodyDiv w:val="1"/>
      <w:marLeft w:val="0"/>
      <w:marRight w:val="0"/>
      <w:marTop w:val="0"/>
      <w:marBottom w:val="0"/>
      <w:divBdr>
        <w:top w:val="none" w:sz="0" w:space="0" w:color="auto"/>
        <w:left w:val="none" w:sz="0" w:space="0" w:color="auto"/>
        <w:bottom w:val="none" w:sz="0" w:space="0" w:color="auto"/>
        <w:right w:val="none" w:sz="0" w:space="0" w:color="auto"/>
      </w:divBdr>
    </w:div>
    <w:div w:id="1140920597">
      <w:bodyDiv w:val="1"/>
      <w:marLeft w:val="0"/>
      <w:marRight w:val="0"/>
      <w:marTop w:val="0"/>
      <w:marBottom w:val="0"/>
      <w:divBdr>
        <w:top w:val="none" w:sz="0" w:space="0" w:color="auto"/>
        <w:left w:val="none" w:sz="0" w:space="0" w:color="auto"/>
        <w:bottom w:val="none" w:sz="0" w:space="0" w:color="auto"/>
        <w:right w:val="none" w:sz="0" w:space="0" w:color="auto"/>
      </w:divBdr>
    </w:div>
    <w:div w:id="1337538383">
      <w:bodyDiv w:val="1"/>
      <w:marLeft w:val="0"/>
      <w:marRight w:val="0"/>
      <w:marTop w:val="0"/>
      <w:marBottom w:val="0"/>
      <w:divBdr>
        <w:top w:val="none" w:sz="0" w:space="0" w:color="auto"/>
        <w:left w:val="none" w:sz="0" w:space="0" w:color="auto"/>
        <w:bottom w:val="none" w:sz="0" w:space="0" w:color="auto"/>
        <w:right w:val="none" w:sz="0" w:space="0" w:color="auto"/>
      </w:divBdr>
    </w:div>
    <w:div w:id="1491749728">
      <w:bodyDiv w:val="1"/>
      <w:marLeft w:val="0"/>
      <w:marRight w:val="0"/>
      <w:marTop w:val="0"/>
      <w:marBottom w:val="0"/>
      <w:divBdr>
        <w:top w:val="none" w:sz="0" w:space="0" w:color="auto"/>
        <w:left w:val="none" w:sz="0" w:space="0" w:color="auto"/>
        <w:bottom w:val="none" w:sz="0" w:space="0" w:color="auto"/>
        <w:right w:val="none" w:sz="0" w:space="0" w:color="auto"/>
      </w:divBdr>
    </w:div>
    <w:div w:id="1539120458">
      <w:bodyDiv w:val="1"/>
      <w:marLeft w:val="0"/>
      <w:marRight w:val="0"/>
      <w:marTop w:val="0"/>
      <w:marBottom w:val="0"/>
      <w:divBdr>
        <w:top w:val="none" w:sz="0" w:space="0" w:color="auto"/>
        <w:left w:val="none" w:sz="0" w:space="0" w:color="auto"/>
        <w:bottom w:val="none" w:sz="0" w:space="0" w:color="auto"/>
        <w:right w:val="none" w:sz="0" w:space="0" w:color="auto"/>
      </w:divBdr>
    </w:div>
    <w:div w:id="1784881705">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93225280">
      <w:bodyDiv w:val="1"/>
      <w:marLeft w:val="0"/>
      <w:marRight w:val="0"/>
      <w:marTop w:val="0"/>
      <w:marBottom w:val="0"/>
      <w:divBdr>
        <w:top w:val="none" w:sz="0" w:space="0" w:color="auto"/>
        <w:left w:val="none" w:sz="0" w:space="0" w:color="auto"/>
        <w:bottom w:val="none" w:sz="0" w:space="0" w:color="auto"/>
        <w:right w:val="none" w:sz="0" w:space="0" w:color="auto"/>
      </w:divBdr>
    </w:div>
    <w:div w:id="2014335255">
      <w:bodyDiv w:val="1"/>
      <w:marLeft w:val="0"/>
      <w:marRight w:val="0"/>
      <w:marTop w:val="0"/>
      <w:marBottom w:val="0"/>
      <w:divBdr>
        <w:top w:val="none" w:sz="0" w:space="0" w:color="auto"/>
        <w:left w:val="none" w:sz="0" w:space="0" w:color="auto"/>
        <w:bottom w:val="none" w:sz="0" w:space="0" w:color="auto"/>
        <w:right w:val="none" w:sz="0" w:space="0" w:color="auto"/>
      </w:divBdr>
    </w:div>
    <w:div w:id="2025739117">
      <w:bodyDiv w:val="1"/>
      <w:marLeft w:val="0"/>
      <w:marRight w:val="0"/>
      <w:marTop w:val="0"/>
      <w:marBottom w:val="0"/>
      <w:divBdr>
        <w:top w:val="none" w:sz="0" w:space="0" w:color="auto"/>
        <w:left w:val="none" w:sz="0" w:space="0" w:color="auto"/>
        <w:bottom w:val="none" w:sz="0" w:space="0" w:color="auto"/>
        <w:right w:val="none" w:sz="0" w:space="0" w:color="auto"/>
      </w:divBdr>
    </w:div>
    <w:div w:id="21265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ro/proiecte_legi_educatie_2022_consultare_publ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2021-09-10T12:53:00Z</dcterms:created>
  <dcterms:modified xsi:type="dcterms:W3CDTF">2022-07-20T13:58:00Z</dcterms:modified>
</cp:coreProperties>
</file>